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571D" w:rsidRDefault="00733AA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" behindDoc="0" locked="0" layoutInCell="1" allowOverlap="1">
                <wp:simplePos x="0" y="0"/>
                <wp:positionH relativeFrom="column">
                  <wp:posOffset>2510790</wp:posOffset>
                </wp:positionH>
                <wp:positionV relativeFrom="paragraph">
                  <wp:posOffset>-361950</wp:posOffset>
                </wp:positionV>
                <wp:extent cx="735965" cy="364490"/>
                <wp:effectExtent l="0" t="0" r="0" b="0"/>
                <wp:wrapNone/>
                <wp:docPr id="1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5480" cy="363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C570BB" w:rsidRDefault="00C570BB">
                            <w:pPr>
                              <w:pStyle w:val="af5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Надпись 2" o:spid="_x0000_s1026" style="position:absolute;left:0;text-align:left;margin-left:197.7pt;margin-top:-28.5pt;width:57.95pt;height:28.7pt;z-index: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" stroked="f" strokeweight=".26mm">
                <v:textbox>
                  <w:txbxContent>
                    <w:p w:rsidR="00C570BB" w:rsidRDefault="00C570BB">
                      <w:pPr>
                        <w:pStyle w:val="af5"/>
                        <w:rPr>
                          <w:color w:val="00000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C570B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Служба по контролю и надзору в сфере образования </w:t>
      </w:r>
    </w:p>
    <w:p w:rsidR="0022571D" w:rsidRDefault="00733AA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Ханты-Мансийского автономного округа – Югры</w:t>
      </w:r>
    </w:p>
    <w:p w:rsidR="0022571D" w:rsidRDefault="0022571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22571D" w:rsidRDefault="0022571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22571D" w:rsidRDefault="0022571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22571D" w:rsidRDefault="0022571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22571D" w:rsidRDefault="0022571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22571D" w:rsidRDefault="0022571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22571D" w:rsidRDefault="0022571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22571D" w:rsidRDefault="0022571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22571D" w:rsidRDefault="0022571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22571D" w:rsidRDefault="0022571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22571D" w:rsidRDefault="0022571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22571D" w:rsidRDefault="0022571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22571D" w:rsidRDefault="00733AA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Анализ рассмотренных за 2 квартал 2019 года </w:t>
      </w:r>
    </w:p>
    <w:p w:rsidR="0022571D" w:rsidRDefault="00733AA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обращений граждан, объединений граждан, в том числе юридических лиц, адресованных в Службу по контролю и надзору в сфере образования Ханты-Мансийского автономного округа – Югры, а также результатов </w:t>
      </w:r>
    </w:p>
    <w:p w:rsidR="0022571D" w:rsidRDefault="00733AA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рассмотрения и принятых мер</w:t>
      </w:r>
    </w:p>
    <w:p w:rsidR="0022571D" w:rsidRDefault="0022571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22571D" w:rsidRDefault="0022571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22571D" w:rsidRDefault="0022571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22571D" w:rsidRDefault="0022571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22571D" w:rsidRDefault="0022571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22571D" w:rsidRDefault="0022571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22571D" w:rsidRDefault="0022571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22571D" w:rsidRDefault="0022571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22571D" w:rsidRDefault="0022571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22571D" w:rsidRDefault="0022571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22571D" w:rsidRDefault="0022571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22571D" w:rsidRDefault="0022571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22571D" w:rsidRDefault="0022571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22571D" w:rsidRDefault="0022571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22571D" w:rsidRDefault="0022571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22571D" w:rsidRDefault="0022571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22571D" w:rsidRDefault="0022571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22571D" w:rsidRDefault="0022571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22571D" w:rsidRDefault="0022571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22571D" w:rsidRDefault="0022571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22571D" w:rsidRDefault="0022571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22571D" w:rsidRDefault="00733AA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г. Ханты-Мансийск</w:t>
      </w:r>
    </w:p>
    <w:p w:rsidR="0022571D" w:rsidRDefault="00733AA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июль 2019 года</w:t>
      </w:r>
    </w:p>
    <w:p w:rsidR="0022571D" w:rsidRDefault="0022571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</w:p>
    <w:p w:rsidR="0022571D" w:rsidRDefault="0022571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</w:p>
    <w:p w:rsidR="0022571D" w:rsidRDefault="00733AA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СОДЕРЖАНИЕ</w:t>
      </w:r>
    </w:p>
    <w:p w:rsidR="0022571D" w:rsidRDefault="0022571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tbl>
      <w:tblPr>
        <w:tblW w:w="9526" w:type="dxa"/>
        <w:tblInd w:w="-217" w:type="dxa"/>
        <w:tblLook w:val="04A0" w:firstRow="1" w:lastRow="0" w:firstColumn="1" w:lastColumn="0" w:noHBand="0" w:noVBand="1"/>
      </w:tblPr>
      <w:tblGrid>
        <w:gridCol w:w="555"/>
        <w:gridCol w:w="8482"/>
        <w:gridCol w:w="489"/>
      </w:tblGrid>
      <w:tr w:rsidR="0022571D">
        <w:tc>
          <w:tcPr>
            <w:tcW w:w="555" w:type="dxa"/>
            <w:shd w:val="clear" w:color="auto" w:fill="auto"/>
          </w:tcPr>
          <w:p w:rsidR="0022571D" w:rsidRDefault="00733A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482" w:type="dxa"/>
            <w:shd w:val="clear" w:color="auto" w:fill="auto"/>
          </w:tcPr>
          <w:p w:rsidR="0022571D" w:rsidRDefault="00733A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 xml:space="preserve">Динамика поступления в адрес Службы по контролю и надзору в </w:t>
            </w:r>
            <w:r>
              <w:rPr>
                <w:rFonts w:ascii="Times New Roman" w:eastAsia="Times New Roman" w:hAnsi="Times New Roman" w:cs="Times New Roman"/>
                <w:spacing w:val="-8"/>
                <w:sz w:val="28"/>
                <w:szCs w:val="26"/>
                <w:lang w:eastAsia="ru-RU"/>
              </w:rPr>
              <w:t>сфере образования Ханты-Мансийского автономного округа – Югры</w:t>
            </w: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 xml:space="preserve"> обращений граждан (юридических лиц)</w:t>
            </w:r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 xml:space="preserve">………………………………..   </w:t>
            </w:r>
          </w:p>
        </w:tc>
        <w:tc>
          <w:tcPr>
            <w:tcW w:w="489" w:type="dxa"/>
            <w:shd w:val="clear" w:color="auto" w:fill="auto"/>
          </w:tcPr>
          <w:p w:rsidR="0022571D" w:rsidRDefault="002257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</w:p>
          <w:p w:rsidR="0022571D" w:rsidRDefault="002257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</w:p>
          <w:p w:rsidR="0022571D" w:rsidRDefault="00733A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3</w:t>
            </w:r>
          </w:p>
        </w:tc>
      </w:tr>
      <w:tr w:rsidR="0022571D">
        <w:tc>
          <w:tcPr>
            <w:tcW w:w="555" w:type="dxa"/>
            <w:shd w:val="clear" w:color="auto" w:fill="auto"/>
          </w:tcPr>
          <w:p w:rsidR="0022571D" w:rsidRDefault="00733A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2.</w:t>
            </w:r>
          </w:p>
        </w:tc>
        <w:tc>
          <w:tcPr>
            <w:tcW w:w="8482" w:type="dxa"/>
            <w:shd w:val="clear" w:color="auto" w:fill="auto"/>
          </w:tcPr>
          <w:p w:rsidR="0022571D" w:rsidRDefault="00733A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Форма поступления обращений</w:t>
            </w:r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…………………………………………</w:t>
            </w:r>
          </w:p>
        </w:tc>
        <w:tc>
          <w:tcPr>
            <w:tcW w:w="489" w:type="dxa"/>
            <w:shd w:val="clear" w:color="auto" w:fill="auto"/>
          </w:tcPr>
          <w:p w:rsidR="0022571D" w:rsidRDefault="00733A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4</w:t>
            </w:r>
          </w:p>
        </w:tc>
      </w:tr>
      <w:tr w:rsidR="0022571D">
        <w:tc>
          <w:tcPr>
            <w:tcW w:w="555" w:type="dxa"/>
            <w:shd w:val="clear" w:color="auto" w:fill="auto"/>
          </w:tcPr>
          <w:p w:rsidR="0022571D" w:rsidRDefault="00733A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8482" w:type="dxa"/>
            <w:shd w:val="clear" w:color="auto" w:fill="auto"/>
          </w:tcPr>
          <w:p w:rsidR="0022571D" w:rsidRDefault="00733A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Каналы поступления обращений</w:t>
            </w:r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……………………...……………........</w:t>
            </w:r>
          </w:p>
        </w:tc>
        <w:tc>
          <w:tcPr>
            <w:tcW w:w="489" w:type="dxa"/>
            <w:shd w:val="clear" w:color="auto" w:fill="auto"/>
          </w:tcPr>
          <w:p w:rsidR="0022571D" w:rsidRDefault="00CE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4</w:t>
            </w:r>
          </w:p>
        </w:tc>
      </w:tr>
      <w:tr w:rsidR="0022571D">
        <w:tc>
          <w:tcPr>
            <w:tcW w:w="555" w:type="dxa"/>
            <w:shd w:val="clear" w:color="auto" w:fill="auto"/>
          </w:tcPr>
          <w:p w:rsidR="0022571D" w:rsidRDefault="00733A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8482" w:type="dxa"/>
            <w:shd w:val="clear" w:color="auto" w:fill="auto"/>
          </w:tcPr>
          <w:p w:rsidR="0022571D" w:rsidRDefault="00733A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Характеристика запросов информации</w:t>
            </w:r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…………………………………</w:t>
            </w:r>
          </w:p>
        </w:tc>
        <w:tc>
          <w:tcPr>
            <w:tcW w:w="489" w:type="dxa"/>
            <w:shd w:val="clear" w:color="auto" w:fill="auto"/>
          </w:tcPr>
          <w:p w:rsidR="0022571D" w:rsidRDefault="00733A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5</w:t>
            </w:r>
          </w:p>
        </w:tc>
      </w:tr>
      <w:tr w:rsidR="0022571D">
        <w:tc>
          <w:tcPr>
            <w:tcW w:w="555" w:type="dxa"/>
            <w:shd w:val="clear" w:color="auto" w:fill="auto"/>
          </w:tcPr>
          <w:p w:rsidR="0022571D" w:rsidRDefault="00733A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8482" w:type="dxa"/>
            <w:shd w:val="clear" w:color="auto" w:fill="auto"/>
          </w:tcPr>
          <w:p w:rsidR="0022571D" w:rsidRDefault="00733A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Динамика поступления повторных обращений………………………..</w:t>
            </w:r>
          </w:p>
        </w:tc>
        <w:tc>
          <w:tcPr>
            <w:tcW w:w="489" w:type="dxa"/>
            <w:shd w:val="clear" w:color="auto" w:fill="auto"/>
          </w:tcPr>
          <w:p w:rsidR="0022571D" w:rsidRDefault="00CE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5</w:t>
            </w:r>
          </w:p>
        </w:tc>
      </w:tr>
      <w:tr w:rsidR="0022571D">
        <w:tc>
          <w:tcPr>
            <w:tcW w:w="555" w:type="dxa"/>
            <w:shd w:val="clear" w:color="auto" w:fill="auto"/>
          </w:tcPr>
          <w:p w:rsidR="0022571D" w:rsidRDefault="00733A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8482" w:type="dxa"/>
            <w:shd w:val="clear" w:color="auto" w:fill="auto"/>
          </w:tcPr>
          <w:p w:rsidR="0022571D" w:rsidRDefault="00733A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8"/>
                <w:szCs w:val="26"/>
                <w:lang w:eastAsia="ru-RU"/>
              </w:rPr>
              <w:t>Социальное положение заявителей, обратившихся в Обрнадзор Югры…</w:t>
            </w:r>
          </w:p>
        </w:tc>
        <w:tc>
          <w:tcPr>
            <w:tcW w:w="489" w:type="dxa"/>
            <w:shd w:val="clear" w:color="auto" w:fill="auto"/>
          </w:tcPr>
          <w:p w:rsidR="0022571D" w:rsidRDefault="00733A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6</w:t>
            </w:r>
          </w:p>
        </w:tc>
      </w:tr>
      <w:tr w:rsidR="0022571D">
        <w:tc>
          <w:tcPr>
            <w:tcW w:w="555" w:type="dxa"/>
            <w:shd w:val="clear" w:color="auto" w:fill="auto"/>
          </w:tcPr>
          <w:p w:rsidR="0022571D" w:rsidRDefault="00733A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8482" w:type="dxa"/>
            <w:shd w:val="clear" w:color="auto" w:fill="auto"/>
          </w:tcPr>
          <w:p w:rsidR="0022571D" w:rsidRDefault="00733A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Динамика поступления коллективных обращений……………………</w:t>
            </w:r>
          </w:p>
        </w:tc>
        <w:tc>
          <w:tcPr>
            <w:tcW w:w="489" w:type="dxa"/>
            <w:shd w:val="clear" w:color="auto" w:fill="auto"/>
          </w:tcPr>
          <w:p w:rsidR="0022571D" w:rsidRDefault="00733A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6</w:t>
            </w:r>
          </w:p>
        </w:tc>
      </w:tr>
      <w:tr w:rsidR="0022571D">
        <w:tc>
          <w:tcPr>
            <w:tcW w:w="555" w:type="dxa"/>
            <w:shd w:val="clear" w:color="auto" w:fill="auto"/>
          </w:tcPr>
          <w:p w:rsidR="0022571D" w:rsidRDefault="00733A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8482" w:type="dxa"/>
            <w:shd w:val="clear" w:color="auto" w:fill="auto"/>
          </w:tcPr>
          <w:p w:rsidR="0022571D" w:rsidRDefault="00733A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Динамика поступления обращений от юридических лиц…………….</w:t>
            </w:r>
          </w:p>
        </w:tc>
        <w:tc>
          <w:tcPr>
            <w:tcW w:w="489" w:type="dxa"/>
            <w:shd w:val="clear" w:color="auto" w:fill="auto"/>
          </w:tcPr>
          <w:p w:rsidR="0022571D" w:rsidRDefault="00733A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7</w:t>
            </w:r>
          </w:p>
        </w:tc>
      </w:tr>
      <w:tr w:rsidR="0022571D">
        <w:tc>
          <w:tcPr>
            <w:tcW w:w="555" w:type="dxa"/>
            <w:shd w:val="clear" w:color="auto" w:fill="auto"/>
          </w:tcPr>
          <w:p w:rsidR="0022571D" w:rsidRDefault="00733A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8482" w:type="dxa"/>
            <w:shd w:val="clear" w:color="auto" w:fill="auto"/>
          </w:tcPr>
          <w:p w:rsidR="0022571D" w:rsidRDefault="00733A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8"/>
                <w:szCs w:val="26"/>
                <w:lang w:eastAsia="ru-RU"/>
              </w:rPr>
              <w:t>Поступление обращений для рассмотрения из других органов власти….</w:t>
            </w:r>
          </w:p>
        </w:tc>
        <w:tc>
          <w:tcPr>
            <w:tcW w:w="489" w:type="dxa"/>
            <w:shd w:val="clear" w:color="auto" w:fill="auto"/>
          </w:tcPr>
          <w:p w:rsidR="0022571D" w:rsidRDefault="00CE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7</w:t>
            </w:r>
          </w:p>
        </w:tc>
      </w:tr>
      <w:tr w:rsidR="0022571D">
        <w:tc>
          <w:tcPr>
            <w:tcW w:w="555" w:type="dxa"/>
            <w:shd w:val="clear" w:color="auto" w:fill="auto"/>
          </w:tcPr>
          <w:p w:rsidR="0022571D" w:rsidRDefault="00733A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8482" w:type="dxa"/>
            <w:shd w:val="clear" w:color="auto" w:fill="auto"/>
          </w:tcPr>
          <w:p w:rsidR="0022571D" w:rsidRDefault="00733A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8"/>
                <w:szCs w:val="26"/>
                <w:lang w:eastAsia="ru-RU"/>
              </w:rPr>
              <w:t>Личный прием граждан, объединений граждан, в том числе юридических лиц…………………………………………………………..</w:t>
            </w:r>
          </w:p>
        </w:tc>
        <w:tc>
          <w:tcPr>
            <w:tcW w:w="489" w:type="dxa"/>
            <w:shd w:val="clear" w:color="auto" w:fill="auto"/>
          </w:tcPr>
          <w:p w:rsidR="0022571D" w:rsidRDefault="002257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</w:p>
          <w:p w:rsidR="0022571D" w:rsidRDefault="00CE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8</w:t>
            </w:r>
          </w:p>
        </w:tc>
      </w:tr>
      <w:tr w:rsidR="0022571D">
        <w:tc>
          <w:tcPr>
            <w:tcW w:w="555" w:type="dxa"/>
            <w:shd w:val="clear" w:color="auto" w:fill="auto"/>
          </w:tcPr>
          <w:p w:rsidR="0022571D" w:rsidRDefault="00733A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8482" w:type="dxa"/>
            <w:shd w:val="clear" w:color="auto" w:fill="auto"/>
          </w:tcPr>
          <w:p w:rsidR="0022571D" w:rsidRDefault="00733A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Динамика поступления вопросов, содержащихся в обращениях…….</w:t>
            </w:r>
          </w:p>
        </w:tc>
        <w:tc>
          <w:tcPr>
            <w:tcW w:w="489" w:type="dxa"/>
            <w:shd w:val="clear" w:color="auto" w:fill="auto"/>
          </w:tcPr>
          <w:p w:rsidR="0022571D" w:rsidRDefault="00CE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8</w:t>
            </w:r>
          </w:p>
        </w:tc>
      </w:tr>
      <w:tr w:rsidR="0022571D">
        <w:tc>
          <w:tcPr>
            <w:tcW w:w="555" w:type="dxa"/>
            <w:shd w:val="clear" w:color="auto" w:fill="auto"/>
          </w:tcPr>
          <w:p w:rsidR="0022571D" w:rsidRDefault="00733A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8482" w:type="dxa"/>
            <w:shd w:val="clear" w:color="auto" w:fill="auto"/>
          </w:tcPr>
          <w:p w:rsidR="0022571D" w:rsidRDefault="00733A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Предметы ведения (уровень компетенции) по вопросам, содержащимся в обращениях…………………………………………...</w:t>
            </w:r>
          </w:p>
        </w:tc>
        <w:tc>
          <w:tcPr>
            <w:tcW w:w="489" w:type="dxa"/>
            <w:shd w:val="clear" w:color="auto" w:fill="auto"/>
          </w:tcPr>
          <w:p w:rsidR="0022571D" w:rsidRDefault="002257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</w:p>
          <w:p w:rsidR="0022571D" w:rsidRDefault="00CE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9</w:t>
            </w:r>
          </w:p>
        </w:tc>
      </w:tr>
      <w:tr w:rsidR="0022571D">
        <w:tc>
          <w:tcPr>
            <w:tcW w:w="555" w:type="dxa"/>
            <w:shd w:val="clear" w:color="auto" w:fill="auto"/>
          </w:tcPr>
          <w:p w:rsidR="0022571D" w:rsidRDefault="00733A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8482" w:type="dxa"/>
            <w:shd w:val="clear" w:color="auto" w:fill="auto"/>
          </w:tcPr>
          <w:p w:rsidR="0022571D" w:rsidRDefault="00733A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Характеристика вопросов, содержащихся в обращениях …………….</w:t>
            </w:r>
          </w:p>
        </w:tc>
        <w:tc>
          <w:tcPr>
            <w:tcW w:w="489" w:type="dxa"/>
            <w:shd w:val="clear" w:color="auto" w:fill="auto"/>
          </w:tcPr>
          <w:p w:rsidR="0022571D" w:rsidRDefault="00CE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10</w:t>
            </w:r>
          </w:p>
        </w:tc>
      </w:tr>
      <w:tr w:rsidR="0022571D">
        <w:tc>
          <w:tcPr>
            <w:tcW w:w="555" w:type="dxa"/>
            <w:shd w:val="clear" w:color="auto" w:fill="auto"/>
          </w:tcPr>
          <w:p w:rsidR="0022571D" w:rsidRDefault="00733A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8482" w:type="dxa"/>
            <w:shd w:val="clear" w:color="auto" w:fill="auto"/>
          </w:tcPr>
          <w:p w:rsidR="0022571D" w:rsidRDefault="00733A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Результаты рассмотрения вопросов, содержащихся в обращениях….</w:t>
            </w:r>
          </w:p>
        </w:tc>
        <w:tc>
          <w:tcPr>
            <w:tcW w:w="489" w:type="dxa"/>
            <w:shd w:val="clear" w:color="auto" w:fill="auto"/>
          </w:tcPr>
          <w:p w:rsidR="0022571D" w:rsidRDefault="00733AAA" w:rsidP="00CE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1</w:t>
            </w:r>
            <w:r w:rsidR="00CE1CC7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1</w:t>
            </w:r>
          </w:p>
        </w:tc>
      </w:tr>
      <w:tr w:rsidR="0022571D">
        <w:tc>
          <w:tcPr>
            <w:tcW w:w="555" w:type="dxa"/>
            <w:shd w:val="clear" w:color="auto" w:fill="auto"/>
          </w:tcPr>
          <w:p w:rsidR="0022571D" w:rsidRDefault="00733A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8482" w:type="dxa"/>
            <w:shd w:val="clear" w:color="auto" w:fill="auto"/>
          </w:tcPr>
          <w:p w:rsidR="0022571D" w:rsidRDefault="00733A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Оценка мнения заявителей о результатах рассмотрения вопросов, содержащихся в обращениях……………………………………………</w:t>
            </w:r>
          </w:p>
        </w:tc>
        <w:tc>
          <w:tcPr>
            <w:tcW w:w="489" w:type="dxa"/>
            <w:shd w:val="clear" w:color="auto" w:fill="auto"/>
          </w:tcPr>
          <w:p w:rsidR="0022571D" w:rsidRDefault="002257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</w:p>
          <w:p w:rsidR="0022571D" w:rsidRDefault="00733AAA" w:rsidP="00CE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1</w:t>
            </w:r>
            <w:r w:rsidR="00CE1CC7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2</w:t>
            </w:r>
          </w:p>
        </w:tc>
      </w:tr>
      <w:tr w:rsidR="0022571D">
        <w:tc>
          <w:tcPr>
            <w:tcW w:w="555" w:type="dxa"/>
            <w:shd w:val="clear" w:color="auto" w:fill="auto"/>
          </w:tcPr>
          <w:p w:rsidR="0022571D" w:rsidRDefault="00733A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8482" w:type="dxa"/>
            <w:shd w:val="clear" w:color="auto" w:fill="auto"/>
          </w:tcPr>
          <w:p w:rsidR="0022571D" w:rsidRDefault="00733A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Заключительные положения ……………………………………………</w:t>
            </w:r>
          </w:p>
        </w:tc>
        <w:tc>
          <w:tcPr>
            <w:tcW w:w="489" w:type="dxa"/>
            <w:shd w:val="clear" w:color="auto" w:fill="auto"/>
          </w:tcPr>
          <w:p w:rsidR="0022571D" w:rsidRDefault="00733AAA" w:rsidP="00CE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1</w:t>
            </w:r>
            <w:r w:rsidR="00CE1CC7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3</w:t>
            </w:r>
          </w:p>
        </w:tc>
      </w:tr>
    </w:tbl>
    <w:p w:rsidR="0022571D" w:rsidRDefault="0022571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22571D" w:rsidRDefault="0022571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22571D" w:rsidRDefault="0022571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22571D" w:rsidRDefault="0022571D">
      <w:pPr>
        <w:pStyle w:val="af3"/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</w:p>
    <w:p w:rsidR="0022571D" w:rsidRDefault="0022571D">
      <w:pPr>
        <w:pStyle w:val="af3"/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</w:p>
    <w:p w:rsidR="0022571D" w:rsidRDefault="0022571D">
      <w:pPr>
        <w:pStyle w:val="af3"/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</w:p>
    <w:p w:rsidR="0022571D" w:rsidRDefault="0022571D">
      <w:pPr>
        <w:pStyle w:val="af3"/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</w:p>
    <w:p w:rsidR="0022571D" w:rsidRDefault="0022571D">
      <w:pPr>
        <w:pStyle w:val="af3"/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</w:p>
    <w:p w:rsidR="0022571D" w:rsidRDefault="0022571D">
      <w:pPr>
        <w:pStyle w:val="af3"/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</w:p>
    <w:p w:rsidR="0022571D" w:rsidRDefault="0022571D">
      <w:pPr>
        <w:pStyle w:val="af3"/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</w:p>
    <w:p w:rsidR="0022571D" w:rsidRDefault="0022571D">
      <w:pPr>
        <w:pStyle w:val="af3"/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</w:p>
    <w:p w:rsidR="0022571D" w:rsidRDefault="0022571D">
      <w:pPr>
        <w:pStyle w:val="af3"/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</w:p>
    <w:p w:rsidR="0022571D" w:rsidRDefault="0022571D">
      <w:pPr>
        <w:pStyle w:val="af3"/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</w:p>
    <w:p w:rsidR="0022571D" w:rsidRDefault="0022571D">
      <w:pPr>
        <w:pStyle w:val="af3"/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</w:p>
    <w:p w:rsidR="0022571D" w:rsidRDefault="0022571D">
      <w:pPr>
        <w:pStyle w:val="af3"/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</w:p>
    <w:p w:rsidR="0022571D" w:rsidRDefault="0022571D">
      <w:pPr>
        <w:pStyle w:val="af3"/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</w:p>
    <w:p w:rsidR="0022571D" w:rsidRDefault="0022571D">
      <w:pPr>
        <w:pStyle w:val="af3"/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</w:p>
    <w:p w:rsidR="0022571D" w:rsidRDefault="0022571D">
      <w:pPr>
        <w:pStyle w:val="af3"/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</w:p>
    <w:p w:rsidR="0022571D" w:rsidRDefault="0022571D">
      <w:pPr>
        <w:pStyle w:val="af3"/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</w:p>
    <w:p w:rsidR="0022571D" w:rsidRDefault="0022571D">
      <w:pPr>
        <w:pStyle w:val="af3"/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</w:p>
    <w:p w:rsidR="0022571D" w:rsidRDefault="0022571D">
      <w:pPr>
        <w:pStyle w:val="af3"/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b/>
          <w:sz w:val="28"/>
          <w:szCs w:val="26"/>
          <w:lang w:val="en-US" w:eastAsia="ru-RU"/>
        </w:rPr>
      </w:pPr>
    </w:p>
    <w:p w:rsidR="0022571D" w:rsidRDefault="00733AAA">
      <w:pPr>
        <w:pStyle w:val="af3"/>
        <w:numPr>
          <w:ilvl w:val="0"/>
          <w:numId w:val="1"/>
        </w:numPr>
        <w:tabs>
          <w:tab w:val="left" w:pos="426"/>
        </w:tabs>
        <w:suppressAutoHyphens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lastRenderedPageBreak/>
        <w:t>Динамика поступления в адрес Службы по контролю и надзору в сфере образования Ханты-Мансийского автономного</w:t>
      </w:r>
    </w:p>
    <w:p w:rsidR="0022571D" w:rsidRDefault="00733AAA">
      <w:pPr>
        <w:pStyle w:val="af3"/>
        <w:tabs>
          <w:tab w:val="left" w:pos="426"/>
        </w:tabs>
        <w:suppressAutoHyphens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округа – Югры обращений граждан (юридических лиц)</w:t>
      </w:r>
    </w:p>
    <w:p w:rsidR="0022571D" w:rsidRDefault="0022571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2571D" w:rsidRDefault="00733AAA">
      <w:pPr>
        <w:suppressAutoHyphens/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Во 2 квартале 2019 года в Службу по контролю и надзору в сфере образования Ханты-Мансийского автономного округа – Югры (далее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br/>
        <w:t xml:space="preserve">также – Служба, Обрнадзор Югры) поступило 71 обращение граждан и юридических лиц (далее – обращения граждан), что больше в 2,9 раза в сравнении со </w:t>
      </w:r>
      <w:r w:rsidR="005F1A5C">
        <w:rPr>
          <w:rFonts w:ascii="Times New Roman" w:eastAsia="Times New Roman" w:hAnsi="Times New Roman" w:cs="Times New Roman"/>
          <w:sz w:val="28"/>
          <w:szCs w:val="26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кварталом 2018 года (24 обращения граждан), в 1,2 раза в сравнении с аналогичным периодом 2017 года (59 обращений граждан). Данные представлены на рисунке 1.</w:t>
      </w:r>
    </w:p>
    <w:p w:rsidR="0022571D" w:rsidRDefault="0022571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22571D" w:rsidRDefault="00733AAA">
      <w:pPr>
        <w:suppressAutoHyphens/>
        <w:spacing w:after="0" w:line="240" w:lineRule="auto"/>
        <w:ind w:firstLine="709"/>
        <w:jc w:val="center"/>
      </w:pPr>
      <w:r>
        <w:rPr>
          <w:noProof/>
          <w:lang w:eastAsia="ru-RU"/>
        </w:rPr>
        <w:drawing>
          <wp:inline distT="0" distB="0" distL="0" distR="0">
            <wp:extent cx="3780155" cy="1571625"/>
            <wp:effectExtent l="0" t="0" r="0" b="0"/>
            <wp:docPr id="5" name="Объект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3" behindDoc="0" locked="0" layoutInCell="1" allowOverlap="1" wp14:anchorId="2B892E56">
                <wp:simplePos x="0" y="0"/>
                <wp:positionH relativeFrom="column">
                  <wp:posOffset>2322830</wp:posOffset>
                </wp:positionH>
                <wp:positionV relativeFrom="paragraph">
                  <wp:posOffset>243205</wp:posOffset>
                </wp:positionV>
                <wp:extent cx="1850390" cy="183515"/>
                <wp:effectExtent l="0" t="57150" r="0" b="6985"/>
                <wp:wrapNone/>
                <wp:docPr id="3" name="Прямая со стрелко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 flipH="1">
                          <a:off x="0" y="0"/>
                          <a:ext cx="1849680" cy="1828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>
                          <a:solidFill>
                            <a:srgbClr val="4A7EBB"/>
                          </a:solidFill>
                          <a:round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5FD2DF62" id="Прямая со стрелкой 17" o:spid="_x0000_s1026" style="position:absolute;margin-left:182.9pt;margin-top:19.15pt;width:145.7pt;height:14.45pt;rotation:180;flip:x;z-index: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" path="m,l21600,21600e" filled="f" strokecolor="#4a7ebb">
                <v:stroke endarrow="block"/>
                <v:path arrowok="t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" behindDoc="0" locked="0" layoutInCell="1" allowOverlap="1" wp14:anchorId="719DD2E1">
                <wp:simplePos x="0" y="0"/>
                <wp:positionH relativeFrom="column">
                  <wp:posOffset>3371850</wp:posOffset>
                </wp:positionH>
                <wp:positionV relativeFrom="paragraph">
                  <wp:posOffset>339090</wp:posOffset>
                </wp:positionV>
                <wp:extent cx="774065" cy="612140"/>
                <wp:effectExtent l="0" t="38100" r="45085" b="0"/>
                <wp:wrapNone/>
                <wp:docPr id="4" name="Прямая со стрелкой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 flipH="1">
                          <a:off x="0" y="0"/>
                          <a:ext cx="773280" cy="6116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>
                          <a:solidFill>
                            <a:srgbClr val="4A7EBB"/>
                          </a:solidFill>
                          <a:round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74E26AEF" id="Прямая со стрелкой 18" o:spid="_x0000_s1026" style="position:absolute;margin-left:265.5pt;margin-top:26.7pt;width:60.95pt;height:48.2pt;rotation:180;flip:x;z-index: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" path="m,l21600,21600e" filled="f" strokecolor="#4a7ebb">
                <v:stroke endarrow="block"/>
                <v:path arrowok="t"/>
              </v:shape>
            </w:pict>
          </mc:Fallback>
        </mc:AlternateContent>
      </w:r>
    </w:p>
    <w:p w:rsidR="0022571D" w:rsidRDefault="00733AAA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Рис. 1. Динамика поступления обращений в адрес </w:t>
      </w:r>
    </w:p>
    <w:p w:rsidR="0022571D" w:rsidRDefault="00733AAA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Обрнадзора Югры за 2016-2018 гг.</w:t>
      </w:r>
    </w:p>
    <w:p w:rsidR="0022571D" w:rsidRDefault="0022571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22571D" w:rsidRDefault="00733AA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Анализ поступивших за 2 квартал 2019 года обращений показал:</w:t>
      </w:r>
    </w:p>
    <w:p w:rsidR="0022571D" w:rsidRDefault="00733AAA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увеличение количества обращений в сравнении с аналогичными периодами 2017, 2018 годов и 1 кварталом 2019 года. Повышение активности жителей автономного округа связано с ситуацией, сложившейся в Сургутском филиале Московского колледжа №177 (35 обращений по одному вопросу);</w:t>
      </w:r>
    </w:p>
    <w:p w:rsidR="0022571D" w:rsidRDefault="00733AAA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рост количества обращений, переадресованных для рассмотрения в Обрнадзор Югры другими органами государственной власти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(47 – во 2 квартале 2019 года, 27 — в 1 квартале 2019 года, 11 – во 2 квартале 2018 года, 24 – во 2 квартале 2017 года);</w:t>
      </w:r>
    </w:p>
    <w:p w:rsidR="0022571D" w:rsidRDefault="005F1A5C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поступление одного «не обращения», содержащего</w:t>
      </w:r>
      <w:r w:rsidR="00733AAA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благодарность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в адрес Обрнадзора Югры</w:t>
      </w:r>
      <w:r w:rsidR="00733AAA">
        <w:rPr>
          <w:rFonts w:ascii="Times New Roman" w:eastAsia="Times New Roman" w:hAnsi="Times New Roman" w:cs="Times New Roman"/>
          <w:sz w:val="28"/>
          <w:szCs w:val="26"/>
          <w:lang w:eastAsia="ru-RU"/>
        </w:rPr>
        <w:t>;</w:t>
      </w:r>
    </w:p>
    <w:p w:rsidR="0022571D" w:rsidRDefault="00733AAA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увеличение количества обращений граждан из муниципальных образований автономного округа: Сургут, Кондинский район;</w:t>
      </w:r>
    </w:p>
    <w:p w:rsidR="0022571D" w:rsidRDefault="00733AAA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отсутствие обращений из муниципальных образований автономного округа: Когалым, Лангепас, Покачи, Радужный, Югорск, Нягань, Советский район, Нижневартовский район, Белоярский район, Ханты-Мансийский район.</w:t>
      </w:r>
    </w:p>
    <w:p w:rsidR="0022571D" w:rsidRDefault="00733AA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Распределение обращений, поступивших в Обрнадзор Югры в разрезе муниципальных образований автономн</w:t>
      </w:r>
      <w:bookmarkStart w:id="0" w:name="_GoBack"/>
      <w:bookmarkEnd w:id="0"/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ого округа представлено на рисунке 2.</w:t>
      </w:r>
    </w:p>
    <w:p w:rsidR="0022571D" w:rsidRDefault="00733AA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u w:val="single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953125" cy="2943225"/>
            <wp:effectExtent l="0" t="0" r="0" b="0"/>
            <wp:docPr id="6" name="Объект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22571D" w:rsidRDefault="00733AAA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Рис. 2.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 «Распределение обращений, поступивших в Обрнадзор Югры в разрезе муниципальных образований автономного округа».</w:t>
      </w:r>
    </w:p>
    <w:p w:rsidR="0022571D" w:rsidRDefault="002257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6"/>
          <w:sz w:val="16"/>
          <w:szCs w:val="16"/>
          <w:lang w:eastAsia="ru-RU"/>
        </w:rPr>
      </w:pPr>
    </w:p>
    <w:p w:rsidR="0022571D" w:rsidRDefault="002257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6"/>
          <w:sz w:val="16"/>
          <w:szCs w:val="16"/>
          <w:lang w:eastAsia="ru-RU"/>
        </w:rPr>
      </w:pPr>
    </w:p>
    <w:p w:rsidR="0022571D" w:rsidRDefault="00733AAA">
      <w:pPr>
        <w:pStyle w:val="af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Форма поступления обращений</w:t>
      </w:r>
    </w:p>
    <w:p w:rsidR="0022571D" w:rsidRDefault="0022571D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2571D" w:rsidRDefault="00733AAA">
      <w:pPr>
        <w:suppressAutoHyphens/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Наибольшее количество обращений </w:t>
      </w:r>
      <w:r w:rsidR="005F1A5C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(60, 84%)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во 2 квартале 2019</w:t>
      </w:r>
      <w:r w:rsidR="005F1A5C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года направлено заявителями в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электронной форме. В сравнении с показателями 2017 и 2018 годов </w:t>
      </w:r>
      <w:r w:rsidR="00B06BCC">
        <w:rPr>
          <w:rFonts w:ascii="Times New Roman" w:eastAsia="Times New Roman" w:hAnsi="Times New Roman" w:cs="Times New Roman"/>
          <w:sz w:val="28"/>
          <w:szCs w:val="26"/>
          <w:lang w:eastAsia="ru-RU"/>
        </w:rPr>
        <w:t>количество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обращений в электронной форме от общего количества обращений </w:t>
      </w:r>
      <w:r w:rsidR="00B06BCC">
        <w:rPr>
          <w:rFonts w:ascii="Times New Roman" w:eastAsia="Times New Roman" w:hAnsi="Times New Roman" w:cs="Times New Roman"/>
          <w:sz w:val="28"/>
          <w:szCs w:val="26"/>
          <w:lang w:eastAsia="ru-RU"/>
        </w:rPr>
        <w:t>возросла на 19 и 48</w:t>
      </w:r>
      <w:r w:rsidR="006B5F80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соответственно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. </w:t>
      </w:r>
    </w:p>
    <w:p w:rsidR="0022571D" w:rsidRDefault="00733AA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Сведения о динамике количества обращений по формам поступления за 2017-2019 годы представлена на рисунке 3.</w:t>
      </w:r>
    </w:p>
    <w:p w:rsidR="00897307" w:rsidRDefault="00897307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noProof/>
          <w:sz w:val="24"/>
          <w:szCs w:val="24"/>
          <w:lang w:eastAsia="ru-RU"/>
        </w:rPr>
        <w:drawing>
          <wp:inline distT="0" distB="0" distL="0" distR="0">
            <wp:extent cx="4087504" cy="1774209"/>
            <wp:effectExtent l="0" t="0" r="0" b="0"/>
            <wp:docPr id="11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22571D" w:rsidRDefault="0022571D">
      <w:pPr>
        <w:suppressAutoHyphens/>
        <w:spacing w:after="0" w:line="240" w:lineRule="auto"/>
        <w:ind w:right="-28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6BCC" w:rsidRDefault="00733AAA" w:rsidP="00B06BC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Рис. 3. Динамика количества обращений граждан по формам</w:t>
      </w:r>
      <w:r w:rsidR="00B06BCC"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поступления </w:t>
      </w:r>
    </w:p>
    <w:p w:rsidR="0022571D" w:rsidRDefault="00733AAA" w:rsidP="00B06BCC">
      <w:pPr>
        <w:suppressAutoHyphens/>
        <w:spacing w:after="0" w:line="240" w:lineRule="auto"/>
        <w:jc w:val="center"/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 2017-2019 гг.</w:t>
      </w:r>
    </w:p>
    <w:p w:rsidR="0022571D" w:rsidRDefault="0022571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22571D" w:rsidRDefault="00733AAA">
      <w:pPr>
        <w:pStyle w:val="af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Каналы поступления обращений</w:t>
      </w:r>
    </w:p>
    <w:p w:rsidR="0022571D" w:rsidRDefault="0022571D">
      <w:pPr>
        <w:pStyle w:val="af3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2571D" w:rsidRDefault="00733AAA">
      <w:pPr>
        <w:pStyle w:val="af3"/>
        <w:spacing w:after="0" w:line="240" w:lineRule="auto"/>
        <w:ind w:left="0" w:firstLine="720"/>
        <w:jc w:val="both"/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Во 2 квартале 2019 года большинс</w:t>
      </w:r>
      <w:r w:rsidR="00B06BCC">
        <w:rPr>
          <w:rFonts w:ascii="Times New Roman" w:eastAsia="Times New Roman" w:hAnsi="Times New Roman" w:cs="Times New Roman"/>
          <w:sz w:val="28"/>
          <w:szCs w:val="26"/>
          <w:lang w:eastAsia="ru-RU"/>
        </w:rPr>
        <w:t>тво обращений (49 обращений, 69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%) поступило в Обрнадзор Югры почтовым отправлением, из них 40 обращений </w:t>
      </w:r>
      <w:r w:rsidR="00190027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(81,6% от общего количества обращений, поступивших почтовым отправлением)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в электронной форме, переадресованных в Обрнадзор другими органами власти.</w:t>
      </w:r>
    </w:p>
    <w:p w:rsidR="00190027" w:rsidRDefault="00733AAA">
      <w:pPr>
        <w:pStyle w:val="af3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lastRenderedPageBreak/>
        <w:t xml:space="preserve">С использованием интерактивного сервиса «Обращения граждан» на едином официальном сайте государственных органов автономного округа </w:t>
      </w:r>
      <w:r w:rsidR="00190027">
        <w:rPr>
          <w:rFonts w:ascii="Times New Roman" w:eastAsia="Times New Roman" w:hAnsi="Times New Roman" w:cs="Times New Roman"/>
          <w:sz w:val="28"/>
          <w:szCs w:val="26"/>
          <w:lang w:eastAsia="ru-RU"/>
        </w:rPr>
        <w:t>заявителями направлено 20 обращений (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28,2%)</w:t>
      </w:r>
      <w:r w:rsidR="00190027">
        <w:rPr>
          <w:rFonts w:ascii="Times New Roman" w:eastAsia="Times New Roman" w:hAnsi="Times New Roman" w:cs="Times New Roman"/>
          <w:sz w:val="28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</w:p>
    <w:p w:rsidR="0022571D" w:rsidRDefault="00733AAA">
      <w:pPr>
        <w:pStyle w:val="af3"/>
        <w:spacing w:after="0" w:line="240" w:lineRule="auto"/>
        <w:ind w:left="0" w:firstLine="720"/>
        <w:jc w:val="both"/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Отметим, что бо</w:t>
      </w:r>
      <w:r w:rsidR="00190027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льшинство обращений (20 из 24,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83%), направленных непосредственно в Обрнадзор Югры, поступило от граждан через сеть «Интернет».</w:t>
      </w:r>
    </w:p>
    <w:p w:rsidR="0022571D" w:rsidRDefault="00733AAA">
      <w:pPr>
        <w:pStyle w:val="af3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Два обращения был</w:t>
      </w:r>
      <w:r w:rsidR="00B9410B">
        <w:rPr>
          <w:rFonts w:ascii="Times New Roman" w:eastAsia="Times New Roman" w:hAnsi="Times New Roman" w:cs="Times New Roman"/>
          <w:sz w:val="28"/>
          <w:szCs w:val="26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доставлен</w:t>
      </w:r>
      <w:r w:rsidR="00B9410B">
        <w:rPr>
          <w:rFonts w:ascii="Times New Roman" w:eastAsia="Times New Roman" w:hAnsi="Times New Roman" w:cs="Times New Roman"/>
          <w:sz w:val="28"/>
          <w:szCs w:val="26"/>
          <w:lang w:eastAsia="ru-RU"/>
        </w:rPr>
        <w:t>ы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лично авторами в Службу.</w:t>
      </w:r>
    </w:p>
    <w:p w:rsidR="00190027" w:rsidRDefault="00190027">
      <w:pPr>
        <w:pStyle w:val="af3"/>
        <w:spacing w:after="0" w:line="240" w:lineRule="auto"/>
        <w:ind w:left="0" w:firstLine="720"/>
        <w:jc w:val="both"/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Такие каналы связи, как сетевой справочный телефонный узел автономного округа и Российской Федерации</w:t>
      </w:r>
      <w:r w:rsidR="006B5F80">
        <w:rPr>
          <w:rFonts w:ascii="Times New Roman" w:eastAsia="Times New Roman" w:hAnsi="Times New Roman" w:cs="Times New Roman"/>
          <w:sz w:val="28"/>
          <w:szCs w:val="26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заявителями для направления запросов не использовались.</w:t>
      </w:r>
    </w:p>
    <w:p w:rsidR="0022571D" w:rsidRDefault="00733AAA">
      <w:pPr>
        <w:pStyle w:val="af3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Динамика поступлен</w:t>
      </w:r>
      <w:r w:rsidR="00190027">
        <w:rPr>
          <w:rFonts w:ascii="Times New Roman" w:eastAsia="Times New Roman" w:hAnsi="Times New Roman" w:cs="Times New Roman"/>
          <w:sz w:val="28"/>
          <w:szCs w:val="26"/>
          <w:lang w:eastAsia="ru-RU"/>
        </w:rPr>
        <w:t>ия обращений в Обрнадзор Югры во втором квартале 2019 года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в разрезе каналов связи представлена в таблице 1.</w:t>
      </w:r>
    </w:p>
    <w:p w:rsidR="00190027" w:rsidRDefault="00190027">
      <w:pPr>
        <w:pStyle w:val="af3"/>
        <w:spacing w:after="0" w:line="240" w:lineRule="auto"/>
        <w:ind w:left="0" w:firstLine="7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571D" w:rsidRDefault="00733AAA">
      <w:pPr>
        <w:pStyle w:val="af3"/>
        <w:spacing w:after="0" w:line="240" w:lineRule="auto"/>
        <w:ind w:left="0" w:firstLine="7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1.</w:t>
      </w:r>
    </w:p>
    <w:tbl>
      <w:tblPr>
        <w:tblStyle w:val="af8"/>
        <w:tblW w:w="9232" w:type="dxa"/>
        <w:tblInd w:w="108" w:type="dxa"/>
        <w:tblLook w:val="04A0" w:firstRow="1" w:lastRow="0" w:firstColumn="1" w:lastColumn="0" w:noHBand="0" w:noVBand="1"/>
      </w:tblPr>
      <w:tblGrid>
        <w:gridCol w:w="3544"/>
        <w:gridCol w:w="1419"/>
        <w:gridCol w:w="1418"/>
        <w:gridCol w:w="1417"/>
        <w:gridCol w:w="1434"/>
      </w:tblGrid>
      <w:tr w:rsidR="0022571D" w:rsidRPr="00190027" w:rsidTr="00190027">
        <w:tc>
          <w:tcPr>
            <w:tcW w:w="3544" w:type="dxa"/>
            <w:shd w:val="clear" w:color="auto" w:fill="auto"/>
          </w:tcPr>
          <w:p w:rsidR="0022571D" w:rsidRPr="00190027" w:rsidRDefault="00733AAA">
            <w:pPr>
              <w:pStyle w:val="af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90027">
              <w:rPr>
                <w:rFonts w:ascii="Times New Roman" w:eastAsia="Times New Roman" w:hAnsi="Times New Roman" w:cs="Times New Roman"/>
                <w:b/>
                <w:lang w:eastAsia="ru-RU"/>
              </w:rPr>
              <w:t>Каналы связи</w:t>
            </w:r>
          </w:p>
        </w:tc>
        <w:tc>
          <w:tcPr>
            <w:tcW w:w="1419" w:type="dxa"/>
            <w:shd w:val="clear" w:color="auto" w:fill="auto"/>
          </w:tcPr>
          <w:p w:rsidR="0022571D" w:rsidRPr="00190027" w:rsidRDefault="00733AAA">
            <w:pPr>
              <w:pStyle w:val="af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90027">
              <w:rPr>
                <w:rFonts w:ascii="Times New Roman" w:eastAsia="Times New Roman" w:hAnsi="Times New Roman" w:cs="Times New Roman"/>
                <w:b/>
                <w:lang w:eastAsia="ru-RU"/>
              </w:rPr>
              <w:t>2 кв.2018</w:t>
            </w:r>
            <w:r w:rsidR="00190027" w:rsidRPr="0019002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г.</w:t>
            </w:r>
            <w:r w:rsidRPr="0019002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(кол-во)</w:t>
            </w:r>
          </w:p>
        </w:tc>
        <w:tc>
          <w:tcPr>
            <w:tcW w:w="1418" w:type="dxa"/>
            <w:shd w:val="clear" w:color="auto" w:fill="auto"/>
          </w:tcPr>
          <w:p w:rsidR="0022571D" w:rsidRPr="00190027" w:rsidRDefault="00733AAA">
            <w:pPr>
              <w:pStyle w:val="af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90027">
              <w:rPr>
                <w:rFonts w:ascii="Times New Roman" w:eastAsia="Times New Roman" w:hAnsi="Times New Roman" w:cs="Times New Roman"/>
                <w:b/>
                <w:lang w:eastAsia="ru-RU"/>
              </w:rPr>
              <w:t>2 кв.2018</w:t>
            </w:r>
            <w:r w:rsidR="00190027" w:rsidRPr="0019002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г.</w:t>
            </w:r>
          </w:p>
          <w:p w:rsidR="0022571D" w:rsidRPr="00190027" w:rsidRDefault="00733AAA">
            <w:pPr>
              <w:pStyle w:val="af3"/>
              <w:spacing w:after="0" w:line="240" w:lineRule="auto"/>
              <w:ind w:left="-9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90027">
              <w:rPr>
                <w:rFonts w:ascii="Times New Roman" w:eastAsia="Times New Roman" w:hAnsi="Times New Roman" w:cs="Times New Roman"/>
                <w:b/>
                <w:lang w:eastAsia="ru-RU"/>
              </w:rPr>
              <w:t>(доля в %)</w:t>
            </w:r>
          </w:p>
        </w:tc>
        <w:tc>
          <w:tcPr>
            <w:tcW w:w="1417" w:type="dxa"/>
            <w:shd w:val="clear" w:color="auto" w:fill="auto"/>
          </w:tcPr>
          <w:p w:rsidR="0022571D" w:rsidRPr="00190027" w:rsidRDefault="00733AAA">
            <w:pPr>
              <w:pStyle w:val="af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90027">
              <w:rPr>
                <w:rFonts w:ascii="Times New Roman" w:eastAsia="Times New Roman" w:hAnsi="Times New Roman" w:cs="Times New Roman"/>
                <w:b/>
                <w:lang w:eastAsia="ru-RU"/>
              </w:rPr>
              <w:t>2 кв.2019</w:t>
            </w:r>
            <w:r w:rsidR="00190027" w:rsidRPr="0019002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г.</w:t>
            </w:r>
            <w:r w:rsidRPr="0019002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(кол-во)</w:t>
            </w:r>
          </w:p>
        </w:tc>
        <w:tc>
          <w:tcPr>
            <w:tcW w:w="1434" w:type="dxa"/>
            <w:shd w:val="clear" w:color="auto" w:fill="auto"/>
          </w:tcPr>
          <w:p w:rsidR="0022571D" w:rsidRPr="00190027" w:rsidRDefault="00733AAA">
            <w:pPr>
              <w:pStyle w:val="af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90027">
              <w:rPr>
                <w:rFonts w:ascii="Times New Roman" w:eastAsia="Times New Roman" w:hAnsi="Times New Roman" w:cs="Times New Roman"/>
                <w:b/>
                <w:lang w:eastAsia="ru-RU"/>
              </w:rPr>
              <w:t>2 кв.2019</w:t>
            </w:r>
            <w:r w:rsidR="0019002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г.</w:t>
            </w:r>
          </w:p>
          <w:p w:rsidR="0022571D" w:rsidRPr="00190027" w:rsidRDefault="00733AAA">
            <w:pPr>
              <w:pStyle w:val="af3"/>
              <w:spacing w:after="0" w:line="240" w:lineRule="auto"/>
              <w:ind w:left="-9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90027">
              <w:rPr>
                <w:rFonts w:ascii="Times New Roman" w:eastAsia="Times New Roman" w:hAnsi="Times New Roman" w:cs="Times New Roman"/>
                <w:b/>
                <w:lang w:eastAsia="ru-RU"/>
              </w:rPr>
              <w:t>(доля в %)</w:t>
            </w:r>
          </w:p>
        </w:tc>
      </w:tr>
      <w:tr w:rsidR="0022571D" w:rsidTr="00190027">
        <w:tc>
          <w:tcPr>
            <w:tcW w:w="3544" w:type="dxa"/>
            <w:shd w:val="clear" w:color="auto" w:fill="auto"/>
          </w:tcPr>
          <w:p w:rsidR="0022571D" w:rsidRDefault="00733AAA">
            <w:pPr>
              <w:pStyle w:val="af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Сеть «Интернет»</w:t>
            </w:r>
          </w:p>
        </w:tc>
        <w:tc>
          <w:tcPr>
            <w:tcW w:w="1419" w:type="dxa"/>
            <w:shd w:val="clear" w:color="auto" w:fill="auto"/>
          </w:tcPr>
          <w:p w:rsidR="0022571D" w:rsidRDefault="00733AAA">
            <w:pPr>
              <w:pStyle w:val="af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8" w:type="dxa"/>
            <w:shd w:val="clear" w:color="auto" w:fill="auto"/>
          </w:tcPr>
          <w:p w:rsidR="0022571D" w:rsidRDefault="00733AAA">
            <w:pPr>
              <w:pStyle w:val="af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37,5</w:t>
            </w:r>
          </w:p>
        </w:tc>
        <w:tc>
          <w:tcPr>
            <w:tcW w:w="1417" w:type="dxa"/>
            <w:shd w:val="clear" w:color="auto" w:fill="auto"/>
          </w:tcPr>
          <w:p w:rsidR="0022571D" w:rsidRDefault="00733AAA">
            <w:pPr>
              <w:pStyle w:val="af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34" w:type="dxa"/>
            <w:shd w:val="clear" w:color="auto" w:fill="auto"/>
          </w:tcPr>
          <w:p w:rsidR="0022571D" w:rsidRDefault="00733AAA">
            <w:pPr>
              <w:pStyle w:val="af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28,2</w:t>
            </w:r>
          </w:p>
        </w:tc>
      </w:tr>
      <w:tr w:rsidR="0022571D" w:rsidTr="00190027">
        <w:tc>
          <w:tcPr>
            <w:tcW w:w="3544" w:type="dxa"/>
            <w:shd w:val="clear" w:color="auto" w:fill="auto"/>
          </w:tcPr>
          <w:p w:rsidR="0022571D" w:rsidRDefault="00733AAA">
            <w:pPr>
              <w:pStyle w:val="af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Каналы электронного обмена</w:t>
            </w:r>
          </w:p>
        </w:tc>
        <w:tc>
          <w:tcPr>
            <w:tcW w:w="1419" w:type="dxa"/>
            <w:shd w:val="clear" w:color="auto" w:fill="auto"/>
          </w:tcPr>
          <w:p w:rsidR="0022571D" w:rsidRDefault="00733AAA">
            <w:pPr>
              <w:pStyle w:val="af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22571D" w:rsidRDefault="00733AAA">
            <w:pPr>
              <w:pStyle w:val="af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417" w:type="dxa"/>
            <w:shd w:val="clear" w:color="auto" w:fill="auto"/>
          </w:tcPr>
          <w:p w:rsidR="0022571D" w:rsidRDefault="00733AAA">
            <w:pPr>
              <w:pStyle w:val="af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34" w:type="dxa"/>
            <w:shd w:val="clear" w:color="auto" w:fill="auto"/>
          </w:tcPr>
          <w:p w:rsidR="0022571D" w:rsidRDefault="00733AAA">
            <w:pPr>
              <w:pStyle w:val="af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22571D" w:rsidTr="00190027">
        <w:tc>
          <w:tcPr>
            <w:tcW w:w="3544" w:type="dxa"/>
            <w:shd w:val="clear" w:color="auto" w:fill="auto"/>
          </w:tcPr>
          <w:p w:rsidR="0022571D" w:rsidRDefault="00733AAA">
            <w:pPr>
              <w:pStyle w:val="af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Почтовое отправление</w:t>
            </w:r>
          </w:p>
        </w:tc>
        <w:tc>
          <w:tcPr>
            <w:tcW w:w="1419" w:type="dxa"/>
            <w:shd w:val="clear" w:color="auto" w:fill="auto"/>
          </w:tcPr>
          <w:p w:rsidR="0022571D" w:rsidRDefault="00733AAA">
            <w:pPr>
              <w:pStyle w:val="af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shd w:val="clear" w:color="auto" w:fill="auto"/>
          </w:tcPr>
          <w:p w:rsidR="0022571D" w:rsidRDefault="00733AAA">
            <w:pPr>
              <w:pStyle w:val="af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417" w:type="dxa"/>
            <w:shd w:val="clear" w:color="auto" w:fill="auto"/>
          </w:tcPr>
          <w:p w:rsidR="0022571D" w:rsidRDefault="00733AAA">
            <w:pPr>
              <w:pStyle w:val="af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434" w:type="dxa"/>
            <w:shd w:val="clear" w:color="auto" w:fill="auto"/>
          </w:tcPr>
          <w:p w:rsidR="0022571D" w:rsidRDefault="00733AAA">
            <w:pPr>
              <w:pStyle w:val="af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22571D" w:rsidTr="00190027">
        <w:tc>
          <w:tcPr>
            <w:tcW w:w="3544" w:type="dxa"/>
            <w:shd w:val="clear" w:color="auto" w:fill="auto"/>
          </w:tcPr>
          <w:p w:rsidR="0022571D" w:rsidRDefault="00733AAA" w:rsidP="00190027">
            <w:pPr>
              <w:pStyle w:val="af3"/>
              <w:spacing w:after="0" w:line="240" w:lineRule="auto"/>
              <w:ind w:left="176" w:hanging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Факсимильная связь</w:t>
            </w:r>
          </w:p>
        </w:tc>
        <w:tc>
          <w:tcPr>
            <w:tcW w:w="1419" w:type="dxa"/>
            <w:shd w:val="clear" w:color="auto" w:fill="auto"/>
          </w:tcPr>
          <w:p w:rsidR="0022571D" w:rsidRDefault="00733AAA">
            <w:pPr>
              <w:pStyle w:val="af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22571D" w:rsidRDefault="00733AAA">
            <w:pPr>
              <w:pStyle w:val="af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22571D" w:rsidRDefault="00733AAA">
            <w:pPr>
              <w:pStyle w:val="af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34" w:type="dxa"/>
            <w:shd w:val="clear" w:color="auto" w:fill="auto"/>
          </w:tcPr>
          <w:p w:rsidR="0022571D" w:rsidRDefault="00733AAA">
            <w:pPr>
              <w:pStyle w:val="af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22571D" w:rsidTr="00190027">
        <w:tc>
          <w:tcPr>
            <w:tcW w:w="3544" w:type="dxa"/>
            <w:shd w:val="clear" w:color="auto" w:fill="auto"/>
          </w:tcPr>
          <w:p w:rsidR="0022571D" w:rsidRDefault="00733AAA">
            <w:pPr>
              <w:pStyle w:val="af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Курьер</w:t>
            </w:r>
          </w:p>
        </w:tc>
        <w:tc>
          <w:tcPr>
            <w:tcW w:w="1419" w:type="dxa"/>
            <w:shd w:val="clear" w:color="auto" w:fill="auto"/>
          </w:tcPr>
          <w:p w:rsidR="0022571D" w:rsidRDefault="00733AAA">
            <w:pPr>
              <w:pStyle w:val="af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22571D" w:rsidRDefault="00733AAA">
            <w:pPr>
              <w:pStyle w:val="af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22571D" w:rsidRDefault="00733AAA">
            <w:pPr>
              <w:pStyle w:val="af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34" w:type="dxa"/>
            <w:shd w:val="clear" w:color="auto" w:fill="auto"/>
          </w:tcPr>
          <w:p w:rsidR="0022571D" w:rsidRDefault="00733AAA">
            <w:pPr>
              <w:pStyle w:val="af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22571D" w:rsidTr="00190027">
        <w:tc>
          <w:tcPr>
            <w:tcW w:w="3544" w:type="dxa"/>
            <w:shd w:val="clear" w:color="auto" w:fill="auto"/>
          </w:tcPr>
          <w:p w:rsidR="0022571D" w:rsidRDefault="00733AAA">
            <w:pPr>
              <w:pStyle w:val="af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Лично</w:t>
            </w:r>
          </w:p>
        </w:tc>
        <w:tc>
          <w:tcPr>
            <w:tcW w:w="1419" w:type="dxa"/>
            <w:shd w:val="clear" w:color="auto" w:fill="auto"/>
          </w:tcPr>
          <w:p w:rsidR="0022571D" w:rsidRDefault="00733AAA">
            <w:pPr>
              <w:pStyle w:val="af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22571D" w:rsidRDefault="00733AAA">
            <w:pPr>
              <w:pStyle w:val="af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22571D" w:rsidRDefault="00733AAA">
            <w:pPr>
              <w:pStyle w:val="af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4" w:type="dxa"/>
            <w:shd w:val="clear" w:color="auto" w:fill="auto"/>
          </w:tcPr>
          <w:p w:rsidR="0022571D" w:rsidRDefault="00733AAA">
            <w:pPr>
              <w:pStyle w:val="af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</w:tr>
      <w:tr w:rsidR="0022571D" w:rsidTr="00190027">
        <w:tc>
          <w:tcPr>
            <w:tcW w:w="3544" w:type="dxa"/>
            <w:shd w:val="clear" w:color="auto" w:fill="auto"/>
          </w:tcPr>
          <w:p w:rsidR="0022571D" w:rsidRDefault="00733AAA">
            <w:pPr>
              <w:pStyle w:val="af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9" w:type="dxa"/>
            <w:shd w:val="clear" w:color="auto" w:fill="auto"/>
          </w:tcPr>
          <w:p w:rsidR="0022571D" w:rsidRDefault="00733AAA">
            <w:pPr>
              <w:pStyle w:val="af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shd w:val="clear" w:color="auto" w:fill="auto"/>
          </w:tcPr>
          <w:p w:rsidR="0022571D" w:rsidRDefault="00733AAA">
            <w:pPr>
              <w:pStyle w:val="af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</w:tcPr>
          <w:p w:rsidR="0022571D" w:rsidRDefault="00733AAA">
            <w:pPr>
              <w:pStyle w:val="af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1434" w:type="dxa"/>
            <w:shd w:val="clear" w:color="auto" w:fill="auto"/>
          </w:tcPr>
          <w:p w:rsidR="0022571D" w:rsidRDefault="00733AAA">
            <w:pPr>
              <w:pStyle w:val="af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22571D" w:rsidRDefault="0022571D">
      <w:pPr>
        <w:pStyle w:val="af3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22571D" w:rsidRDefault="00733AAA">
      <w:pPr>
        <w:pStyle w:val="af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Характеристика запросов информации</w:t>
      </w:r>
    </w:p>
    <w:p w:rsidR="0022571D" w:rsidRDefault="0022571D">
      <w:pPr>
        <w:pStyle w:val="af3"/>
        <w:spacing w:after="0" w:line="240" w:lineRule="auto"/>
        <w:ind w:left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22571D" w:rsidRDefault="00733AAA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 xml:space="preserve">За отчетный период с запросом документов и материалов в соответствии с </w:t>
      </w:r>
      <w:r>
        <w:rPr>
          <w:rFonts w:ascii="Times New Roman" w:hAnsi="Times New Roman" w:cs="Times New Roman"/>
          <w:spacing w:val="-6"/>
          <w:sz w:val="28"/>
          <w:szCs w:val="26"/>
        </w:rPr>
        <w:t xml:space="preserve">подпунктом 2 пункта 1 статьи 10 Федерального закона </w:t>
      </w:r>
      <w:r>
        <w:rPr>
          <w:rFonts w:ascii="Times New Roman" w:hAnsi="Times New Roman" w:cs="Times New Roman"/>
          <w:spacing w:val="-6"/>
          <w:sz w:val="28"/>
          <w:szCs w:val="26"/>
        </w:rPr>
        <w:br/>
        <w:t>от 02.05.2006 № 59-ФЗ</w:t>
      </w:r>
      <w:r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«О порядке рассмотрения обращений граждан Российской Федерации»</w:t>
      </w:r>
      <w:r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 xml:space="preserve"> (далее – Федеральный закон №59-фз) рассмотрено 10 обращений. </w:t>
      </w:r>
      <w:r>
        <w:rPr>
          <w:rFonts w:ascii="Times New Roman" w:eastAsia="Calibri" w:hAnsi="Times New Roman" w:cs="Times New Roman"/>
          <w:sz w:val="28"/>
          <w:szCs w:val="32"/>
          <w:lang w:eastAsia="ru-RU"/>
        </w:rPr>
        <w:t xml:space="preserve"> </w:t>
      </w:r>
    </w:p>
    <w:p w:rsidR="0022571D" w:rsidRDefault="00733AAA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>В</w:t>
      </w: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целях объективного и всестороннего рассмотрения обращений граждан, поступивших в Обрнадзор Югры, запросы направлялись в адрес Департамента физической культуры и спорта Ханты-Мансийского автономного округа – Югры, Департамент образования и молодежной политики </w:t>
      </w: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br/>
        <w:t xml:space="preserve">Ханты-Мансийского автономного округа – Югры, органов местного самоуправления, осуществляющих управление в сфере образования на территории муниципальных образований: г. Сургут, г.Урай , г. </w:t>
      </w:r>
      <w:r w:rsidR="00190027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Нефтеюганск, </w:t>
      </w:r>
      <w:r w:rsidR="00190027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br/>
        <w:t>г. Ханты-Мансийск</w:t>
      </w: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, Кондинский район.</w:t>
      </w:r>
    </w:p>
    <w:p w:rsidR="0022571D" w:rsidRDefault="00733AAA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 xml:space="preserve">Запросы направлены в целях предоставления </w:t>
      </w:r>
      <w:r>
        <w:rPr>
          <w:rFonts w:ascii="Times New Roman" w:hAnsi="Times New Roman" w:cs="Times New Roman"/>
          <w:sz w:val="28"/>
          <w:szCs w:val="28"/>
        </w:rPr>
        <w:t>информации и документов образовательных учреждений,</w:t>
      </w:r>
      <w:r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 xml:space="preserve"> необходимых для рассмотрения обращений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2571D" w:rsidRDefault="0022571D" w:rsidP="006B5F8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2571D" w:rsidRDefault="006B5F80" w:rsidP="006B5F80">
      <w:pPr>
        <w:pStyle w:val="af3"/>
        <w:tabs>
          <w:tab w:val="left" w:pos="426"/>
        </w:tabs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5. </w:t>
      </w:r>
      <w:r w:rsidR="00733AAA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Динамика поступления повторных обращений граждан</w:t>
      </w:r>
    </w:p>
    <w:p w:rsidR="0022571D" w:rsidRDefault="0022571D">
      <w:pPr>
        <w:pStyle w:val="af3"/>
        <w:spacing w:after="0" w:line="240" w:lineRule="auto"/>
        <w:ind w:left="0" w:firstLine="786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22571D" w:rsidRDefault="00733AAA">
      <w:pPr>
        <w:pStyle w:val="af3"/>
        <w:spacing w:after="0" w:line="240" w:lineRule="auto"/>
        <w:ind w:left="0" w:firstLine="786"/>
        <w:jc w:val="both"/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В адрес Обрнадзора Югры во 2 квартале 2019 года году не поступали повторные обращения, что свидетельствует об удовлетворенности заявителей результатами рассмотрения их обращений и принятыми мерами.</w:t>
      </w:r>
    </w:p>
    <w:p w:rsidR="0022571D" w:rsidRDefault="006B5F80" w:rsidP="006B5F80">
      <w:pPr>
        <w:pStyle w:val="af3"/>
        <w:tabs>
          <w:tab w:val="left" w:pos="426"/>
        </w:tabs>
        <w:spacing w:after="0" w:line="240" w:lineRule="auto"/>
        <w:ind w:left="0"/>
        <w:jc w:val="center"/>
      </w:pPr>
      <w:r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lastRenderedPageBreak/>
        <w:t>6. </w:t>
      </w:r>
      <w:r w:rsidR="00733AAA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Социальное положение заявителей, обратившихся</w:t>
      </w:r>
    </w:p>
    <w:p w:rsidR="0022571D" w:rsidRDefault="00733AAA" w:rsidP="006B5F80">
      <w:pPr>
        <w:pStyle w:val="af3"/>
        <w:tabs>
          <w:tab w:val="left" w:pos="426"/>
        </w:tabs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в Обрнадзор Югры</w:t>
      </w:r>
    </w:p>
    <w:p w:rsidR="0022571D" w:rsidRDefault="0022571D">
      <w:pPr>
        <w:pStyle w:val="af3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</w:p>
    <w:p w:rsidR="00190027" w:rsidRDefault="0019002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Структура заявителей по социальному положению в отчетном периоде в сравнении со 2 кварталом 2018 года представлена в таблице 2.</w:t>
      </w:r>
    </w:p>
    <w:p w:rsidR="007A2643" w:rsidRDefault="007A2643">
      <w:pPr>
        <w:pStyle w:val="af3"/>
        <w:spacing w:after="0" w:line="240" w:lineRule="auto"/>
        <w:ind w:left="64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571D" w:rsidRDefault="00733AAA">
      <w:pPr>
        <w:pStyle w:val="af3"/>
        <w:spacing w:after="0" w:line="240" w:lineRule="auto"/>
        <w:ind w:left="64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2</w:t>
      </w:r>
    </w:p>
    <w:p w:rsidR="0022571D" w:rsidRPr="00190027" w:rsidRDefault="00190027">
      <w:pPr>
        <w:pStyle w:val="af3"/>
        <w:spacing w:after="0" w:line="240" w:lineRule="auto"/>
        <w:ind w:left="64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027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Структура заявителей по социальному положению в отчетном периоде в сравнении со 2 кварталом 2018</w:t>
      </w:r>
    </w:p>
    <w:tbl>
      <w:tblPr>
        <w:tblStyle w:val="af8"/>
        <w:tblW w:w="9073" w:type="dxa"/>
        <w:tblInd w:w="108" w:type="dxa"/>
        <w:tblLook w:val="04A0" w:firstRow="1" w:lastRow="0" w:firstColumn="1" w:lastColumn="0" w:noHBand="0" w:noVBand="1"/>
      </w:tblPr>
      <w:tblGrid>
        <w:gridCol w:w="3826"/>
        <w:gridCol w:w="1261"/>
        <w:gridCol w:w="1293"/>
        <w:gridCol w:w="1259"/>
        <w:gridCol w:w="1434"/>
      </w:tblGrid>
      <w:tr w:rsidR="0022571D" w:rsidTr="007A2643">
        <w:tc>
          <w:tcPr>
            <w:tcW w:w="3826" w:type="dxa"/>
            <w:shd w:val="clear" w:color="auto" w:fill="auto"/>
          </w:tcPr>
          <w:p w:rsidR="0022571D" w:rsidRDefault="00733AAA">
            <w:pPr>
              <w:pStyle w:val="af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Социальный статус</w:t>
            </w:r>
          </w:p>
        </w:tc>
        <w:tc>
          <w:tcPr>
            <w:tcW w:w="1261" w:type="dxa"/>
            <w:shd w:val="clear" w:color="auto" w:fill="auto"/>
          </w:tcPr>
          <w:p w:rsidR="0022571D" w:rsidRDefault="00733AAA">
            <w:pPr>
              <w:pStyle w:val="af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 кв.2019 (кол-во)</w:t>
            </w:r>
          </w:p>
        </w:tc>
        <w:tc>
          <w:tcPr>
            <w:tcW w:w="1293" w:type="dxa"/>
            <w:shd w:val="clear" w:color="auto" w:fill="auto"/>
          </w:tcPr>
          <w:p w:rsidR="0022571D" w:rsidRDefault="00733AAA">
            <w:pPr>
              <w:pStyle w:val="af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2.кв.2019</w:t>
            </w:r>
          </w:p>
          <w:p w:rsidR="0022571D" w:rsidRDefault="00733AAA">
            <w:pPr>
              <w:pStyle w:val="af3"/>
              <w:spacing w:after="0" w:line="240" w:lineRule="auto"/>
              <w:ind w:left="-9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(доля в %)</w:t>
            </w:r>
          </w:p>
        </w:tc>
        <w:tc>
          <w:tcPr>
            <w:tcW w:w="1259" w:type="dxa"/>
            <w:shd w:val="clear" w:color="auto" w:fill="auto"/>
          </w:tcPr>
          <w:p w:rsidR="0022571D" w:rsidRDefault="00733AAA">
            <w:pPr>
              <w:pStyle w:val="af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 кв.2018 (кол-во)</w:t>
            </w:r>
          </w:p>
        </w:tc>
        <w:tc>
          <w:tcPr>
            <w:tcW w:w="1434" w:type="dxa"/>
            <w:shd w:val="clear" w:color="auto" w:fill="auto"/>
          </w:tcPr>
          <w:p w:rsidR="0022571D" w:rsidRDefault="00733AAA">
            <w:pPr>
              <w:pStyle w:val="af3"/>
              <w:spacing w:after="0" w:line="240" w:lineRule="auto"/>
              <w:ind w:left="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 кв.2018</w:t>
            </w:r>
          </w:p>
          <w:p w:rsidR="0022571D" w:rsidRDefault="00733AAA">
            <w:pPr>
              <w:pStyle w:val="af3"/>
              <w:spacing w:after="0" w:line="240" w:lineRule="auto"/>
              <w:ind w:left="-9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(доля в %)</w:t>
            </w:r>
          </w:p>
        </w:tc>
      </w:tr>
      <w:tr w:rsidR="0022571D" w:rsidTr="007A2643">
        <w:tc>
          <w:tcPr>
            <w:tcW w:w="3826" w:type="dxa"/>
            <w:shd w:val="clear" w:color="auto" w:fill="auto"/>
          </w:tcPr>
          <w:p w:rsidR="0022571D" w:rsidRDefault="00733A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указавшие социальный статус</w:t>
            </w:r>
          </w:p>
        </w:tc>
        <w:tc>
          <w:tcPr>
            <w:tcW w:w="1261" w:type="dxa"/>
            <w:shd w:val="clear" w:color="auto" w:fill="auto"/>
          </w:tcPr>
          <w:p w:rsidR="0022571D" w:rsidRDefault="00733AAA">
            <w:pPr>
              <w:pStyle w:val="af3"/>
              <w:spacing w:after="0" w:line="240" w:lineRule="auto"/>
              <w:ind w:left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93" w:type="dxa"/>
            <w:shd w:val="clear" w:color="auto" w:fill="auto"/>
          </w:tcPr>
          <w:p w:rsidR="0022571D" w:rsidRDefault="00733AAA">
            <w:pPr>
              <w:pStyle w:val="af3"/>
              <w:spacing w:after="0" w:line="240" w:lineRule="auto"/>
              <w:ind w:left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26,8</w:t>
            </w:r>
          </w:p>
        </w:tc>
        <w:tc>
          <w:tcPr>
            <w:tcW w:w="1259" w:type="dxa"/>
            <w:shd w:val="clear" w:color="auto" w:fill="auto"/>
          </w:tcPr>
          <w:p w:rsidR="0022571D" w:rsidRDefault="00733AAA">
            <w:pPr>
              <w:pStyle w:val="af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4" w:type="dxa"/>
            <w:shd w:val="clear" w:color="auto" w:fill="auto"/>
          </w:tcPr>
          <w:p w:rsidR="0022571D" w:rsidRDefault="00733AAA">
            <w:pPr>
              <w:pStyle w:val="af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</w:t>
            </w:r>
          </w:p>
        </w:tc>
      </w:tr>
      <w:tr w:rsidR="0022571D" w:rsidTr="007A2643">
        <w:tc>
          <w:tcPr>
            <w:tcW w:w="3826" w:type="dxa"/>
            <w:shd w:val="clear" w:color="auto" w:fill="auto"/>
          </w:tcPr>
          <w:p w:rsidR="0022571D" w:rsidRDefault="00733AAA">
            <w:pPr>
              <w:pStyle w:val="af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Семья с детьми</w:t>
            </w:r>
          </w:p>
        </w:tc>
        <w:tc>
          <w:tcPr>
            <w:tcW w:w="1261" w:type="dxa"/>
            <w:shd w:val="clear" w:color="auto" w:fill="auto"/>
          </w:tcPr>
          <w:p w:rsidR="0022571D" w:rsidRDefault="00733AAA">
            <w:pPr>
              <w:pStyle w:val="af3"/>
              <w:spacing w:after="0" w:line="240" w:lineRule="auto"/>
              <w:ind w:left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293" w:type="dxa"/>
            <w:shd w:val="clear" w:color="auto" w:fill="auto"/>
          </w:tcPr>
          <w:p w:rsidR="0022571D" w:rsidRDefault="00733AAA">
            <w:pPr>
              <w:pStyle w:val="af3"/>
              <w:spacing w:after="0" w:line="240" w:lineRule="auto"/>
              <w:ind w:left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53,5</w:t>
            </w:r>
          </w:p>
        </w:tc>
        <w:tc>
          <w:tcPr>
            <w:tcW w:w="1259" w:type="dxa"/>
            <w:shd w:val="clear" w:color="auto" w:fill="auto"/>
          </w:tcPr>
          <w:p w:rsidR="0022571D" w:rsidRDefault="00733AAA">
            <w:pPr>
              <w:pStyle w:val="af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34" w:type="dxa"/>
            <w:shd w:val="clear" w:color="auto" w:fill="auto"/>
          </w:tcPr>
          <w:p w:rsidR="0022571D" w:rsidRDefault="00733AAA">
            <w:pPr>
              <w:pStyle w:val="af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58,3</w:t>
            </w:r>
          </w:p>
        </w:tc>
      </w:tr>
      <w:tr w:rsidR="0022571D" w:rsidTr="007A2643">
        <w:tc>
          <w:tcPr>
            <w:tcW w:w="3826" w:type="dxa"/>
            <w:shd w:val="clear" w:color="auto" w:fill="auto"/>
          </w:tcPr>
          <w:p w:rsidR="0022571D" w:rsidRDefault="00733AAA">
            <w:pPr>
              <w:pStyle w:val="af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Пенсионер</w:t>
            </w:r>
          </w:p>
        </w:tc>
        <w:tc>
          <w:tcPr>
            <w:tcW w:w="1261" w:type="dxa"/>
            <w:shd w:val="clear" w:color="auto" w:fill="auto"/>
          </w:tcPr>
          <w:p w:rsidR="0022571D" w:rsidRDefault="00733AAA">
            <w:pPr>
              <w:pStyle w:val="af3"/>
              <w:spacing w:after="0" w:line="240" w:lineRule="auto"/>
              <w:ind w:left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93" w:type="dxa"/>
            <w:shd w:val="clear" w:color="auto" w:fill="auto"/>
          </w:tcPr>
          <w:p w:rsidR="0022571D" w:rsidRDefault="00733AAA">
            <w:pPr>
              <w:pStyle w:val="af3"/>
              <w:spacing w:after="0" w:line="240" w:lineRule="auto"/>
              <w:ind w:left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1259" w:type="dxa"/>
            <w:shd w:val="clear" w:color="auto" w:fill="auto"/>
          </w:tcPr>
          <w:p w:rsidR="0022571D" w:rsidRDefault="00733AAA">
            <w:pPr>
              <w:pStyle w:val="af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34" w:type="dxa"/>
            <w:shd w:val="clear" w:color="auto" w:fill="auto"/>
          </w:tcPr>
          <w:p w:rsidR="0022571D" w:rsidRDefault="00733AAA">
            <w:pPr>
              <w:pStyle w:val="af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22571D" w:rsidTr="007A2643">
        <w:tc>
          <w:tcPr>
            <w:tcW w:w="3826" w:type="dxa"/>
            <w:shd w:val="clear" w:color="auto" w:fill="auto"/>
          </w:tcPr>
          <w:p w:rsidR="0022571D" w:rsidRDefault="00733AAA">
            <w:pPr>
              <w:pStyle w:val="af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Рабочий</w:t>
            </w:r>
          </w:p>
        </w:tc>
        <w:tc>
          <w:tcPr>
            <w:tcW w:w="1261" w:type="dxa"/>
            <w:shd w:val="clear" w:color="auto" w:fill="auto"/>
          </w:tcPr>
          <w:p w:rsidR="0022571D" w:rsidRDefault="00733AAA">
            <w:pPr>
              <w:pStyle w:val="af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3" w:type="dxa"/>
            <w:shd w:val="clear" w:color="auto" w:fill="auto"/>
          </w:tcPr>
          <w:p w:rsidR="0022571D" w:rsidRDefault="00733AAA">
            <w:pPr>
              <w:pStyle w:val="af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1259" w:type="dxa"/>
            <w:shd w:val="clear" w:color="auto" w:fill="auto"/>
          </w:tcPr>
          <w:p w:rsidR="0022571D" w:rsidRDefault="00733AAA">
            <w:pPr>
              <w:pStyle w:val="af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34" w:type="dxa"/>
            <w:shd w:val="clear" w:color="auto" w:fill="auto"/>
          </w:tcPr>
          <w:p w:rsidR="0022571D" w:rsidRDefault="00733AAA">
            <w:pPr>
              <w:pStyle w:val="af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22571D" w:rsidTr="007A2643">
        <w:tc>
          <w:tcPr>
            <w:tcW w:w="3826" w:type="dxa"/>
            <w:shd w:val="clear" w:color="auto" w:fill="auto"/>
          </w:tcPr>
          <w:p w:rsidR="0022571D" w:rsidRDefault="00733AAA">
            <w:pPr>
              <w:pStyle w:val="af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Служащий</w:t>
            </w:r>
          </w:p>
        </w:tc>
        <w:tc>
          <w:tcPr>
            <w:tcW w:w="1261" w:type="dxa"/>
            <w:shd w:val="clear" w:color="auto" w:fill="auto"/>
          </w:tcPr>
          <w:p w:rsidR="0022571D" w:rsidRDefault="00733AAA">
            <w:pPr>
              <w:pStyle w:val="af3"/>
              <w:spacing w:after="0" w:line="240" w:lineRule="auto"/>
              <w:ind w:left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93" w:type="dxa"/>
            <w:shd w:val="clear" w:color="auto" w:fill="auto"/>
          </w:tcPr>
          <w:p w:rsidR="0022571D" w:rsidRDefault="00733AAA">
            <w:pPr>
              <w:pStyle w:val="af3"/>
              <w:spacing w:after="0" w:line="240" w:lineRule="auto"/>
              <w:ind w:left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259" w:type="dxa"/>
            <w:shd w:val="clear" w:color="auto" w:fill="auto"/>
          </w:tcPr>
          <w:p w:rsidR="0022571D" w:rsidRDefault="00733AAA">
            <w:pPr>
              <w:pStyle w:val="af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34" w:type="dxa"/>
            <w:shd w:val="clear" w:color="auto" w:fill="auto"/>
          </w:tcPr>
          <w:p w:rsidR="0022571D" w:rsidRDefault="00733AAA">
            <w:pPr>
              <w:pStyle w:val="af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20,8</w:t>
            </w:r>
          </w:p>
        </w:tc>
      </w:tr>
      <w:tr w:rsidR="0022571D" w:rsidTr="007A2643">
        <w:tc>
          <w:tcPr>
            <w:tcW w:w="3826" w:type="dxa"/>
            <w:shd w:val="clear" w:color="auto" w:fill="auto"/>
          </w:tcPr>
          <w:p w:rsidR="0022571D" w:rsidRDefault="00733AAA">
            <w:pPr>
              <w:pStyle w:val="af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Домохозяйка</w:t>
            </w:r>
          </w:p>
        </w:tc>
        <w:tc>
          <w:tcPr>
            <w:tcW w:w="1261" w:type="dxa"/>
            <w:shd w:val="clear" w:color="auto" w:fill="auto"/>
          </w:tcPr>
          <w:p w:rsidR="0022571D" w:rsidRDefault="00733AAA">
            <w:pPr>
              <w:pStyle w:val="af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3" w:type="dxa"/>
            <w:shd w:val="clear" w:color="auto" w:fill="auto"/>
          </w:tcPr>
          <w:p w:rsidR="0022571D" w:rsidRDefault="00733AAA">
            <w:pPr>
              <w:pStyle w:val="af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59" w:type="dxa"/>
            <w:shd w:val="clear" w:color="auto" w:fill="auto"/>
          </w:tcPr>
          <w:p w:rsidR="0022571D" w:rsidRDefault="00733AAA">
            <w:pPr>
              <w:pStyle w:val="af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34" w:type="dxa"/>
            <w:shd w:val="clear" w:color="auto" w:fill="auto"/>
          </w:tcPr>
          <w:p w:rsidR="0022571D" w:rsidRDefault="00733AAA">
            <w:pPr>
              <w:pStyle w:val="af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22571D" w:rsidTr="007A2643">
        <w:tc>
          <w:tcPr>
            <w:tcW w:w="3826" w:type="dxa"/>
            <w:shd w:val="clear" w:color="auto" w:fill="auto"/>
          </w:tcPr>
          <w:p w:rsidR="0022571D" w:rsidRDefault="00733AAA">
            <w:pPr>
              <w:pStyle w:val="af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Безработный</w:t>
            </w:r>
          </w:p>
        </w:tc>
        <w:tc>
          <w:tcPr>
            <w:tcW w:w="1261" w:type="dxa"/>
            <w:shd w:val="clear" w:color="auto" w:fill="auto"/>
          </w:tcPr>
          <w:p w:rsidR="0022571D" w:rsidRDefault="00733AAA">
            <w:pPr>
              <w:pStyle w:val="af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93" w:type="dxa"/>
            <w:shd w:val="clear" w:color="auto" w:fill="auto"/>
          </w:tcPr>
          <w:p w:rsidR="0022571D" w:rsidRDefault="00733AAA">
            <w:pPr>
              <w:pStyle w:val="af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259" w:type="dxa"/>
            <w:shd w:val="clear" w:color="auto" w:fill="auto"/>
          </w:tcPr>
          <w:p w:rsidR="0022571D" w:rsidRDefault="00733AAA">
            <w:pPr>
              <w:pStyle w:val="af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34" w:type="dxa"/>
            <w:shd w:val="clear" w:color="auto" w:fill="auto"/>
          </w:tcPr>
          <w:p w:rsidR="0022571D" w:rsidRDefault="00733AAA">
            <w:pPr>
              <w:pStyle w:val="af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22571D" w:rsidTr="007A2643">
        <w:tc>
          <w:tcPr>
            <w:tcW w:w="3826" w:type="dxa"/>
            <w:shd w:val="clear" w:color="auto" w:fill="auto"/>
          </w:tcPr>
          <w:p w:rsidR="0022571D" w:rsidRDefault="00733AAA">
            <w:pPr>
              <w:pStyle w:val="af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Предприниматель</w:t>
            </w:r>
          </w:p>
        </w:tc>
        <w:tc>
          <w:tcPr>
            <w:tcW w:w="1261" w:type="dxa"/>
            <w:shd w:val="clear" w:color="auto" w:fill="auto"/>
          </w:tcPr>
          <w:p w:rsidR="0022571D" w:rsidRDefault="00733AAA">
            <w:pPr>
              <w:pStyle w:val="af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3" w:type="dxa"/>
            <w:shd w:val="clear" w:color="auto" w:fill="auto"/>
          </w:tcPr>
          <w:p w:rsidR="0022571D" w:rsidRDefault="00733AAA">
            <w:pPr>
              <w:pStyle w:val="af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1259" w:type="dxa"/>
            <w:shd w:val="clear" w:color="auto" w:fill="auto"/>
          </w:tcPr>
          <w:p w:rsidR="0022571D" w:rsidRDefault="00733AAA">
            <w:pPr>
              <w:pStyle w:val="af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34" w:type="dxa"/>
            <w:shd w:val="clear" w:color="auto" w:fill="auto"/>
          </w:tcPr>
          <w:p w:rsidR="0022571D" w:rsidRDefault="00733AAA">
            <w:pPr>
              <w:pStyle w:val="af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16,7</w:t>
            </w:r>
          </w:p>
        </w:tc>
      </w:tr>
      <w:tr w:rsidR="0022571D" w:rsidTr="007A2643">
        <w:tc>
          <w:tcPr>
            <w:tcW w:w="3826" w:type="dxa"/>
            <w:shd w:val="clear" w:color="auto" w:fill="auto"/>
          </w:tcPr>
          <w:p w:rsidR="0022571D" w:rsidRDefault="00733AAA">
            <w:pPr>
              <w:pStyle w:val="af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Студент, учащийся</w:t>
            </w:r>
          </w:p>
        </w:tc>
        <w:tc>
          <w:tcPr>
            <w:tcW w:w="1261" w:type="dxa"/>
            <w:shd w:val="clear" w:color="auto" w:fill="auto"/>
          </w:tcPr>
          <w:p w:rsidR="0022571D" w:rsidRDefault="00733AAA">
            <w:pPr>
              <w:pStyle w:val="af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93" w:type="dxa"/>
            <w:shd w:val="clear" w:color="auto" w:fill="auto"/>
          </w:tcPr>
          <w:p w:rsidR="0022571D" w:rsidRDefault="00733AAA">
            <w:pPr>
              <w:pStyle w:val="af3"/>
              <w:spacing w:after="0" w:line="240" w:lineRule="auto"/>
              <w:ind w:left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  <w:tc>
          <w:tcPr>
            <w:tcW w:w="1259" w:type="dxa"/>
            <w:shd w:val="clear" w:color="auto" w:fill="auto"/>
          </w:tcPr>
          <w:p w:rsidR="0022571D" w:rsidRDefault="00733AAA">
            <w:pPr>
              <w:pStyle w:val="af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34" w:type="dxa"/>
            <w:shd w:val="clear" w:color="auto" w:fill="auto"/>
          </w:tcPr>
          <w:p w:rsidR="0022571D" w:rsidRDefault="00733AAA">
            <w:pPr>
              <w:pStyle w:val="af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22571D" w:rsidTr="007A2643">
        <w:tc>
          <w:tcPr>
            <w:tcW w:w="3826" w:type="dxa"/>
            <w:shd w:val="clear" w:color="auto" w:fill="auto"/>
          </w:tcPr>
          <w:p w:rsidR="0022571D" w:rsidRDefault="00733A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Творческая и научная интеллигенция</w:t>
            </w:r>
          </w:p>
        </w:tc>
        <w:tc>
          <w:tcPr>
            <w:tcW w:w="1261" w:type="dxa"/>
            <w:shd w:val="clear" w:color="auto" w:fill="auto"/>
          </w:tcPr>
          <w:p w:rsidR="0022571D" w:rsidRDefault="00733AAA">
            <w:pPr>
              <w:pStyle w:val="af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3" w:type="dxa"/>
            <w:shd w:val="clear" w:color="auto" w:fill="auto"/>
          </w:tcPr>
          <w:p w:rsidR="0022571D" w:rsidRDefault="00733AAA">
            <w:pPr>
              <w:pStyle w:val="af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59" w:type="dxa"/>
            <w:shd w:val="clear" w:color="auto" w:fill="auto"/>
          </w:tcPr>
          <w:p w:rsidR="0022571D" w:rsidRDefault="00733AAA">
            <w:pPr>
              <w:pStyle w:val="af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34" w:type="dxa"/>
            <w:shd w:val="clear" w:color="auto" w:fill="auto"/>
          </w:tcPr>
          <w:p w:rsidR="0022571D" w:rsidRDefault="00733AAA">
            <w:pPr>
              <w:pStyle w:val="af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22571D" w:rsidTr="007A2643">
        <w:tc>
          <w:tcPr>
            <w:tcW w:w="3826" w:type="dxa"/>
            <w:shd w:val="clear" w:color="auto" w:fill="auto"/>
          </w:tcPr>
          <w:p w:rsidR="0022571D" w:rsidRDefault="00733A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Осужденный</w:t>
            </w:r>
          </w:p>
        </w:tc>
        <w:tc>
          <w:tcPr>
            <w:tcW w:w="1261" w:type="dxa"/>
            <w:shd w:val="clear" w:color="auto" w:fill="auto"/>
          </w:tcPr>
          <w:p w:rsidR="0022571D" w:rsidRDefault="00733AAA">
            <w:pPr>
              <w:pStyle w:val="af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3" w:type="dxa"/>
            <w:shd w:val="clear" w:color="auto" w:fill="auto"/>
          </w:tcPr>
          <w:p w:rsidR="0022571D" w:rsidRDefault="00733AAA">
            <w:pPr>
              <w:pStyle w:val="af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59" w:type="dxa"/>
            <w:shd w:val="clear" w:color="auto" w:fill="auto"/>
          </w:tcPr>
          <w:p w:rsidR="0022571D" w:rsidRDefault="00733AAA">
            <w:pPr>
              <w:pStyle w:val="af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34" w:type="dxa"/>
            <w:shd w:val="clear" w:color="auto" w:fill="auto"/>
          </w:tcPr>
          <w:p w:rsidR="0022571D" w:rsidRDefault="00733AAA">
            <w:pPr>
              <w:pStyle w:val="af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22571D" w:rsidTr="007A2643">
        <w:tc>
          <w:tcPr>
            <w:tcW w:w="3826" w:type="dxa"/>
            <w:shd w:val="clear" w:color="auto" w:fill="auto"/>
          </w:tcPr>
          <w:p w:rsidR="0022571D" w:rsidRDefault="00733A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Военнослужащий</w:t>
            </w:r>
          </w:p>
        </w:tc>
        <w:tc>
          <w:tcPr>
            <w:tcW w:w="1261" w:type="dxa"/>
            <w:shd w:val="clear" w:color="auto" w:fill="auto"/>
          </w:tcPr>
          <w:p w:rsidR="0022571D" w:rsidRDefault="00733AAA">
            <w:pPr>
              <w:pStyle w:val="af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3" w:type="dxa"/>
            <w:shd w:val="clear" w:color="auto" w:fill="auto"/>
          </w:tcPr>
          <w:p w:rsidR="0022571D" w:rsidRDefault="00733AAA">
            <w:pPr>
              <w:pStyle w:val="af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59" w:type="dxa"/>
            <w:shd w:val="clear" w:color="auto" w:fill="auto"/>
          </w:tcPr>
          <w:p w:rsidR="0022571D" w:rsidRDefault="00733AAA">
            <w:pPr>
              <w:pStyle w:val="af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34" w:type="dxa"/>
            <w:shd w:val="clear" w:color="auto" w:fill="auto"/>
          </w:tcPr>
          <w:p w:rsidR="0022571D" w:rsidRDefault="00733AAA">
            <w:pPr>
              <w:pStyle w:val="af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22571D" w:rsidRDefault="0022571D">
      <w:pPr>
        <w:suppressAutoHyphens/>
        <w:spacing w:after="0" w:line="240" w:lineRule="auto"/>
        <w:ind w:left="4537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</w:p>
    <w:p w:rsidR="00190027" w:rsidRDefault="00190027" w:rsidP="0019002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За отчетный период в адрес Обрнадзора Югры </w:t>
      </w:r>
      <w:r w:rsidR="007A264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из числа граждан, указавших свой социальный статус,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чаще всего обращались семьи с детьми (54,9%)</w:t>
      </w:r>
      <w:r w:rsidR="007A264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и студенты, учащиеся (8,5%)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. </w:t>
      </w:r>
    </w:p>
    <w:p w:rsidR="007A2643" w:rsidRDefault="007A2643" w:rsidP="0019002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Доля граждан, не указавших свой социальный статус при направлении обращений во втором квартале 2019 года в сравнении со вторым кварталом 2018 года, заметно возросла.</w:t>
      </w:r>
    </w:p>
    <w:p w:rsidR="00190027" w:rsidRDefault="00190027">
      <w:pPr>
        <w:suppressAutoHyphens/>
        <w:spacing w:after="0" w:line="240" w:lineRule="auto"/>
        <w:ind w:left="4537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</w:p>
    <w:p w:rsidR="0022571D" w:rsidRDefault="00733AAA">
      <w:pPr>
        <w:pStyle w:val="af3"/>
        <w:numPr>
          <w:ilvl w:val="0"/>
          <w:numId w:val="2"/>
        </w:numPr>
        <w:suppressAutoHyphens/>
        <w:spacing w:after="0" w:line="240" w:lineRule="auto"/>
        <w:ind w:left="720" w:firstLine="130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Динамика поступления коллективных обращений</w:t>
      </w:r>
    </w:p>
    <w:p w:rsidR="0022571D" w:rsidRDefault="0022571D">
      <w:pPr>
        <w:pStyle w:val="af3"/>
        <w:suppressAutoHyphens/>
        <w:spacing w:after="0" w:line="240" w:lineRule="auto"/>
        <w:ind w:left="0" w:firstLine="786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22571D" w:rsidRDefault="00733AAA">
      <w:pPr>
        <w:pStyle w:val="af3"/>
        <w:suppressAutoHyphens/>
        <w:spacing w:after="0" w:line="240" w:lineRule="auto"/>
        <w:ind w:left="0" w:firstLine="786"/>
        <w:jc w:val="both"/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В отчетный период 2019 года в Обрнадзор Югры поступило 4 коллективных обращения, что составило 5,6% от общего количества </w:t>
      </w:r>
      <w:r w:rsidRPr="007A2643">
        <w:rPr>
          <w:rFonts w:ascii="Times New Roman" w:eastAsia="Times New Roman" w:hAnsi="Times New Roman" w:cs="Times New Roman"/>
          <w:spacing w:val="-8"/>
          <w:sz w:val="28"/>
          <w:szCs w:val="26"/>
          <w:lang w:eastAsia="ru-RU"/>
        </w:rPr>
        <w:t>поступивших обращений. В основном коллективные обращения поступают от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Pr="007A2643">
        <w:rPr>
          <w:rFonts w:ascii="Times New Roman" w:eastAsia="Times New Roman" w:hAnsi="Times New Roman" w:cs="Times New Roman"/>
          <w:spacing w:val="-12"/>
          <w:sz w:val="28"/>
          <w:szCs w:val="26"/>
          <w:lang w:eastAsia="ru-RU"/>
        </w:rPr>
        <w:t>родителей (законных представителей) обучающихся образовательных организаций.</w:t>
      </w:r>
    </w:p>
    <w:p w:rsidR="0022571D" w:rsidRDefault="00733AAA">
      <w:pPr>
        <w:pStyle w:val="af3"/>
        <w:suppressAutoHyphens/>
        <w:spacing w:after="0" w:line="240" w:lineRule="auto"/>
        <w:ind w:left="0" w:firstLine="786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Динамика поступления в Обрнадзор Югры коллективных обращений в 2017-2019 годах представлена на рисунке 4.</w:t>
      </w:r>
    </w:p>
    <w:p w:rsidR="0022571D" w:rsidRPr="007A2643" w:rsidRDefault="0022571D">
      <w:pPr>
        <w:pStyle w:val="af3"/>
        <w:suppressAutoHyphens/>
        <w:spacing w:after="0" w:line="240" w:lineRule="auto"/>
        <w:ind w:left="786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22571D" w:rsidRDefault="00733AAA">
      <w:pPr>
        <w:pStyle w:val="af3"/>
        <w:suppressAutoHyphens/>
        <w:spacing w:after="0" w:line="240" w:lineRule="auto"/>
        <w:ind w:left="786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2797791" cy="1023582"/>
            <wp:effectExtent l="0" t="0" r="0" b="0"/>
            <wp:docPr id="8" name="Объект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22571D" w:rsidRDefault="00733AAA">
      <w:pPr>
        <w:pStyle w:val="af3"/>
        <w:suppressAutoHyphens/>
        <w:spacing w:after="0" w:line="240" w:lineRule="auto"/>
        <w:ind w:left="786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Рис. 4. Динамика поступления коллективных обращений</w:t>
      </w:r>
    </w:p>
    <w:p w:rsidR="0022571D" w:rsidRDefault="0022571D">
      <w:pPr>
        <w:pStyle w:val="af3"/>
        <w:suppressAutoHyphens/>
        <w:spacing w:after="0" w:line="240" w:lineRule="auto"/>
        <w:ind w:left="786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</w:p>
    <w:p w:rsidR="0022571D" w:rsidRDefault="00733AAA">
      <w:pPr>
        <w:suppressAutoHyphens/>
        <w:spacing w:after="0" w:line="240" w:lineRule="auto"/>
        <w:ind w:firstLine="851"/>
        <w:jc w:val="both"/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lastRenderedPageBreak/>
        <w:t xml:space="preserve">Таким образом, в сравнении с аналогичными периодами 2017, 2018 годов наблюдается увеличение </w:t>
      </w:r>
      <w:r w:rsidR="006B5F80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(в 2 раза)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количества коллективных обращений.</w:t>
      </w:r>
      <w:r w:rsidR="007A2643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</w:p>
    <w:p w:rsidR="0022571D" w:rsidRPr="007A2643" w:rsidRDefault="007A2643">
      <w:pPr>
        <w:suppressAutoHyphens/>
        <w:spacing w:after="0" w:line="240" w:lineRule="auto"/>
        <w:ind w:firstLine="851"/>
        <w:jc w:val="both"/>
        <w:rPr>
          <w:spacing w:val="-10"/>
        </w:rPr>
      </w:pPr>
      <w:r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>Большинство</w:t>
      </w:r>
      <w:r w:rsidR="00733AAA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 xml:space="preserve"> коллективных обращений сводится к вопросам, </w:t>
      </w:r>
      <w:r w:rsidR="00733AAA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связанным </w:t>
      </w:r>
      <w:r w:rsidR="00733AAA" w:rsidRPr="007A2643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с ситуацией, сложившейся в Сургутском филиале Московского колледжа № 177</w:t>
      </w:r>
      <w:r w:rsidR="00B9410B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, осуществлявшем образовательную деятельность без лицензии</w:t>
      </w:r>
      <w:r w:rsidR="00733AAA" w:rsidRPr="007A2643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.</w:t>
      </w:r>
    </w:p>
    <w:p w:rsidR="0022571D" w:rsidRDefault="0022571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</w:p>
    <w:p w:rsidR="0022571D" w:rsidRDefault="00733AAA">
      <w:pPr>
        <w:pStyle w:val="af3"/>
        <w:numPr>
          <w:ilvl w:val="0"/>
          <w:numId w:val="2"/>
        </w:num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Динамика поступления обращений от юридических лиц</w:t>
      </w:r>
    </w:p>
    <w:p w:rsidR="0022571D" w:rsidRDefault="0022571D">
      <w:pPr>
        <w:pStyle w:val="af3"/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</w:p>
    <w:p w:rsidR="0022571D" w:rsidRDefault="00733AA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За отчетный период юридическими лицами направлено в Службу 1 обращение. Динамика поступления обращений от юридических лиц представлена на рисунке 5.</w:t>
      </w:r>
    </w:p>
    <w:p w:rsidR="0022571D" w:rsidRDefault="0022571D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22571D" w:rsidRDefault="00733AA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2695433" cy="1016758"/>
            <wp:effectExtent l="0" t="0" r="0" b="0"/>
            <wp:docPr id="9" name="Объект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22571D" w:rsidRDefault="0022571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22571D" w:rsidRDefault="00733AA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Рис. 5. Динамика поступления обращений от юридических лиц</w:t>
      </w:r>
    </w:p>
    <w:p w:rsidR="0022571D" w:rsidRPr="00E01E2C" w:rsidRDefault="0022571D">
      <w:pPr>
        <w:suppressAutoHyphens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2571D" w:rsidRDefault="00733AAA">
      <w:pPr>
        <w:suppressAutoHyphens/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основе представленных данных отмечается существенное снижение количества обращений</w:t>
      </w:r>
      <w:r w:rsidR="004023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юридических лиц по сравнению со 2 кварталом 2018 года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остается на том же уровне в сравнении с</w:t>
      </w:r>
      <w:r w:rsidR="004023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аналогичным периодом 2017 года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2571D" w:rsidRDefault="00733AAA">
      <w:pPr>
        <w:suppressAutoHyphens/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Юридическое лицо обращалось за разъяснениями по вопросам лицензирования образовательной деятельности.</w:t>
      </w:r>
    </w:p>
    <w:p w:rsidR="0022571D" w:rsidRDefault="0022571D">
      <w:pPr>
        <w:suppressAutoHyphens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71D" w:rsidRDefault="00733AAA">
      <w:pPr>
        <w:pStyle w:val="af3"/>
        <w:numPr>
          <w:ilvl w:val="0"/>
          <w:numId w:val="2"/>
        </w:num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Поступление обращений граждан для рассмотрения из других государственных органов</w:t>
      </w:r>
    </w:p>
    <w:p w:rsidR="0022571D" w:rsidRDefault="0022571D">
      <w:pPr>
        <w:pStyle w:val="af3"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</w:p>
    <w:p w:rsidR="0022571D" w:rsidRDefault="00733AAA">
      <w:pPr>
        <w:pStyle w:val="af3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За отчетный период в Обрнадзор Югры переадресовано для рассмотрения по существу 47 обращений (52 вопроса) из следующих органов государственной власти:</w:t>
      </w:r>
    </w:p>
    <w:p w:rsidR="00E01E2C" w:rsidRDefault="00E01E2C">
      <w:pPr>
        <w:pStyle w:val="af3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pacing w:val="-10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Федеральная служба по надзору в сфере образования и науки (15 обращений, 19 вопросов), 32</w:t>
      </w:r>
      <w:r>
        <w:rPr>
          <w:rFonts w:ascii="Times New Roman" w:eastAsia="Times New Roman" w:hAnsi="Times New Roman" w:cs="Times New Roman"/>
          <w:spacing w:val="-10"/>
          <w:sz w:val="28"/>
          <w:szCs w:val="26"/>
          <w:lang w:eastAsia="ru-RU"/>
        </w:rPr>
        <w:t>% от общего количества переадресованных в Службу обращений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);</w:t>
      </w:r>
    </w:p>
    <w:p w:rsidR="0022571D" w:rsidRDefault="00E01E2C">
      <w:pPr>
        <w:pStyle w:val="af3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pacing w:val="-10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pacing w:val="-10"/>
          <w:sz w:val="28"/>
          <w:szCs w:val="26"/>
          <w:lang w:eastAsia="ru-RU"/>
        </w:rPr>
        <w:t>о</w:t>
      </w:r>
      <w:r w:rsidR="00733AAA">
        <w:rPr>
          <w:rFonts w:ascii="Times New Roman" w:eastAsia="Times New Roman" w:hAnsi="Times New Roman" w:cs="Times New Roman"/>
          <w:spacing w:val="-10"/>
          <w:sz w:val="28"/>
          <w:szCs w:val="26"/>
          <w:lang w:eastAsia="ru-RU"/>
        </w:rPr>
        <w:t>рганы прокуратуры автономного округа (32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обращения, </w:t>
      </w:r>
      <w:r w:rsidR="00733AAA">
        <w:rPr>
          <w:rFonts w:ascii="Times New Roman" w:eastAsia="Times New Roman" w:hAnsi="Times New Roman" w:cs="Times New Roman"/>
          <w:sz w:val="28"/>
          <w:szCs w:val="26"/>
          <w:lang w:eastAsia="ru-RU"/>
        </w:rPr>
        <w:t>33 вопроса), 68%</w:t>
      </w:r>
      <w:r w:rsidR="00733AAA">
        <w:rPr>
          <w:rFonts w:ascii="Times New Roman" w:eastAsia="Times New Roman" w:hAnsi="Times New Roman" w:cs="Times New Roman"/>
          <w:spacing w:val="-10"/>
          <w:sz w:val="28"/>
          <w:szCs w:val="26"/>
          <w:lang w:eastAsia="ru-RU"/>
        </w:rPr>
        <w:t xml:space="preserve"> от общего количества переадресованных в Службу обращений</w:t>
      </w:r>
      <w:r>
        <w:rPr>
          <w:rFonts w:ascii="Times New Roman" w:eastAsia="Times New Roman" w:hAnsi="Times New Roman" w:cs="Times New Roman"/>
          <w:spacing w:val="-10"/>
          <w:sz w:val="28"/>
          <w:szCs w:val="26"/>
          <w:lang w:eastAsia="ru-RU"/>
        </w:rPr>
        <w:t>.</w:t>
      </w:r>
    </w:p>
    <w:p w:rsidR="00E01E2C" w:rsidRDefault="00E01E2C">
      <w:pPr>
        <w:pStyle w:val="af3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pacing w:val="-10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pacing w:val="-10"/>
          <w:sz w:val="28"/>
          <w:szCs w:val="26"/>
          <w:lang w:eastAsia="ru-RU"/>
        </w:rPr>
        <w:t>Динамика поступивших в Обрнадзор Югры обращений от других органов власти за 2 квартал 2019 года в сравн</w:t>
      </w:r>
      <w:r w:rsidR="00733AAA">
        <w:rPr>
          <w:rFonts w:ascii="Times New Roman" w:eastAsia="Times New Roman" w:hAnsi="Times New Roman" w:cs="Times New Roman"/>
          <w:spacing w:val="-10"/>
          <w:sz w:val="28"/>
          <w:szCs w:val="26"/>
          <w:lang w:eastAsia="ru-RU"/>
        </w:rPr>
        <w:t xml:space="preserve">ении со 2 кварталом </w:t>
      </w:r>
      <w:r>
        <w:rPr>
          <w:rFonts w:ascii="Times New Roman" w:eastAsia="Times New Roman" w:hAnsi="Times New Roman" w:cs="Times New Roman"/>
          <w:spacing w:val="-10"/>
          <w:sz w:val="28"/>
          <w:szCs w:val="26"/>
          <w:lang w:eastAsia="ru-RU"/>
        </w:rPr>
        <w:t>2018</w:t>
      </w:r>
      <w:r w:rsidR="00733AAA">
        <w:rPr>
          <w:rFonts w:ascii="Times New Roman" w:eastAsia="Times New Roman" w:hAnsi="Times New Roman" w:cs="Times New Roman"/>
          <w:spacing w:val="-10"/>
          <w:sz w:val="28"/>
          <w:szCs w:val="26"/>
          <w:lang w:eastAsia="ru-RU"/>
        </w:rPr>
        <w:t xml:space="preserve"> года</w:t>
      </w:r>
      <w:r>
        <w:rPr>
          <w:rFonts w:ascii="Times New Roman" w:eastAsia="Times New Roman" w:hAnsi="Times New Roman" w:cs="Times New Roman"/>
          <w:spacing w:val="-10"/>
          <w:sz w:val="28"/>
          <w:szCs w:val="26"/>
          <w:lang w:eastAsia="ru-RU"/>
        </w:rPr>
        <w:t xml:space="preserve">, </w:t>
      </w:r>
      <w:r w:rsidR="00733AAA">
        <w:rPr>
          <w:rFonts w:ascii="Times New Roman" w:eastAsia="Times New Roman" w:hAnsi="Times New Roman" w:cs="Times New Roman"/>
          <w:spacing w:val="-10"/>
          <w:sz w:val="28"/>
          <w:szCs w:val="26"/>
          <w:lang w:eastAsia="ru-RU"/>
        </w:rPr>
        <w:t>1 кварталом 2019 года</w:t>
      </w:r>
      <w:r>
        <w:rPr>
          <w:rFonts w:ascii="Times New Roman" w:eastAsia="Times New Roman" w:hAnsi="Times New Roman" w:cs="Times New Roman"/>
          <w:spacing w:val="-10"/>
          <w:sz w:val="28"/>
          <w:szCs w:val="26"/>
          <w:lang w:eastAsia="ru-RU"/>
        </w:rPr>
        <w:t xml:space="preserve"> представлена на рисунке 6.</w:t>
      </w:r>
    </w:p>
    <w:p w:rsidR="00E01E2C" w:rsidRDefault="00E01E2C">
      <w:pPr>
        <w:pStyle w:val="af3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pacing w:val="-10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noProof/>
          <w:spacing w:val="-10"/>
          <w:sz w:val="28"/>
          <w:szCs w:val="26"/>
          <w:lang w:eastAsia="ru-RU"/>
        </w:rPr>
        <w:lastRenderedPageBreak/>
        <w:drawing>
          <wp:inline distT="0" distB="0" distL="0" distR="0">
            <wp:extent cx="3957850" cy="1671851"/>
            <wp:effectExtent l="0" t="0" r="0" b="0"/>
            <wp:docPr id="21" name="Диаграмма 2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6E1B20" w:rsidRDefault="006E1B20" w:rsidP="006E1B2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Рис. 6. </w:t>
      </w:r>
      <w:r w:rsidRPr="006E1B2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Динамика поступивших в Обрнадзор Югры обращений от других органов власти за 2 квартал 2019 года </w:t>
      </w:r>
      <w:r w:rsidR="00733AAA" w:rsidRPr="00733AA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сравнении со 2 кварталом 2018 года, 1 кварталом 2019 года</w:t>
      </w:r>
    </w:p>
    <w:p w:rsidR="00E01E2C" w:rsidRDefault="00E01E2C">
      <w:pPr>
        <w:pStyle w:val="af3"/>
        <w:spacing w:after="0" w:line="240" w:lineRule="auto"/>
        <w:ind w:left="0" w:firstLine="720"/>
        <w:jc w:val="both"/>
      </w:pPr>
    </w:p>
    <w:p w:rsidR="006E1B20" w:rsidRDefault="00733AAA">
      <w:pPr>
        <w:pStyle w:val="af3"/>
        <w:spacing w:after="0" w:line="240" w:lineRule="auto"/>
        <w:ind w:left="0" w:firstLine="720"/>
        <w:jc w:val="both"/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Количество обращений, поступивших для рассмотрения по существу в Обрнадзор Югры из других органов государственной власти и должностных лиц, увеличилось по сравнению с первым кварталом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2019 года на 20 обращений, со 2 кварталом 2018 года на 36 обращений. Основную массу, 37 переадресованных в Обрнадзор Югры обращений, составляют</w:t>
      </w:r>
      <w:r w:rsidRPr="008059F8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обращения в отношении Сургутского филиала Московского колледжа №177.</w:t>
      </w:r>
    </w:p>
    <w:p w:rsidR="0022571D" w:rsidRDefault="0022571D">
      <w:pPr>
        <w:pStyle w:val="af3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22571D" w:rsidRDefault="009B1622" w:rsidP="009B1622">
      <w:pPr>
        <w:suppressAutoHyphens/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10. </w:t>
      </w:r>
      <w:r w:rsidR="00733AAA" w:rsidRPr="009B1622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Личный прием граждан, объединений граждан, в том числе юридических лиц</w:t>
      </w:r>
    </w:p>
    <w:p w:rsidR="0022571D" w:rsidRDefault="002257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</w:p>
    <w:p w:rsidR="0022571D" w:rsidRPr="006D48CD" w:rsidRDefault="00733AAA">
      <w:pPr>
        <w:suppressAutoHyphens/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Во 2 квартале 2019 года руководителем Службы, заместителями руководителя Службы и руководителями структурных подразделений Службы проведен 21 личный прием граждан и представителей юридических лиц</w:t>
      </w:r>
      <w:r w:rsidR="00F95FA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(21 вопрос)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, что </w:t>
      </w:r>
      <w:r w:rsidR="006D48CD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в 1,9 раза</w:t>
      </w:r>
      <w:r w:rsidR="006D48CD" w:rsidRPr="006D48CD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больше показателя за ана</w:t>
      </w:r>
      <w:r w:rsidRPr="006D48CD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логичный период 2018 года (11 личных приемов).</w:t>
      </w:r>
    </w:p>
    <w:p w:rsidR="0022571D" w:rsidRDefault="00733AA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Во 2 квартале 2019 года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в ходе личных приемов заявители чаще всего </w:t>
      </w:r>
      <w:r w:rsidRPr="000C750D">
        <w:rPr>
          <w:rFonts w:ascii="Times New Roman" w:eastAsia="Times New Roman" w:hAnsi="Times New Roman" w:cs="Times New Roman"/>
          <w:sz w:val="28"/>
          <w:szCs w:val="26"/>
          <w:lang w:eastAsia="ru-RU"/>
        </w:rPr>
        <w:t>обращались за разъяснениями по лицензированию образовательной деятельности и соблюдению лицензионных требований. По всем вопросам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заявителям даны исчерпывающие разъяснения норм законодательства в ходе личного приема.</w:t>
      </w:r>
    </w:p>
    <w:p w:rsidR="0022571D" w:rsidRDefault="002257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</w:p>
    <w:p w:rsidR="0022571D" w:rsidRPr="001856F5" w:rsidRDefault="001856F5" w:rsidP="001856F5">
      <w:pPr>
        <w:suppressAutoHyphens/>
        <w:spacing w:after="0" w:line="240" w:lineRule="auto"/>
        <w:ind w:left="644"/>
        <w:jc w:val="center"/>
        <w:rPr>
          <w:rFonts w:ascii="Times New Roman" w:eastAsia="Times New Roman" w:hAnsi="Times New Roman" w:cs="Times New Roman"/>
          <w:b/>
          <w:spacing w:val="-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pacing w:val="-8"/>
          <w:sz w:val="28"/>
          <w:szCs w:val="28"/>
          <w:lang w:eastAsia="ru-RU"/>
        </w:rPr>
        <w:t>11. </w:t>
      </w:r>
      <w:r w:rsidR="00733AAA" w:rsidRPr="001856F5">
        <w:rPr>
          <w:rFonts w:ascii="Times New Roman" w:eastAsia="Times New Roman" w:hAnsi="Times New Roman" w:cs="Times New Roman"/>
          <w:b/>
          <w:spacing w:val="-8"/>
          <w:sz w:val="28"/>
          <w:szCs w:val="28"/>
          <w:lang w:eastAsia="ru-RU"/>
        </w:rPr>
        <w:t>Динамика поступления вопросов, содержащихся в обращениях граждан</w:t>
      </w:r>
    </w:p>
    <w:p w:rsidR="0022571D" w:rsidRDefault="0022571D">
      <w:pPr>
        <w:pStyle w:val="af3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</w:pPr>
    </w:p>
    <w:p w:rsidR="0022571D" w:rsidRDefault="00733AAA">
      <w:pPr>
        <w:pStyle w:val="af3"/>
        <w:spacing w:after="0" w:line="240" w:lineRule="auto"/>
        <w:ind w:left="0" w:firstLine="720"/>
        <w:jc w:val="both"/>
      </w:pP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Обращения граждан, направленные во 2 квартале 2019 года на рассмотрение в Обрнадзор Югры, можно классифицировать по следующим видам: заявление – 70, жалоба – 1 (во 2 квартале 2018 года: заявление – 5, жалоба – 18</w:t>
      </w:r>
      <w:r w:rsidR="00B9410B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, предложение – 0</w:t>
      </w: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; во 2 квартале 2017 года: заявление – 50, жалоба – 9</w:t>
      </w:r>
      <w:r w:rsidR="00B9410B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, предложение – 0</w:t>
      </w: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). Предложения граждан в адрес Обрнадзора Югры в отчетный период не поступали. </w:t>
      </w:r>
    </w:p>
    <w:p w:rsidR="0022571D" w:rsidRDefault="00733AAA">
      <w:pPr>
        <w:pStyle w:val="af3"/>
        <w:spacing w:after="0" w:line="240" w:lineRule="auto"/>
        <w:ind w:left="0" w:firstLine="720"/>
        <w:jc w:val="both"/>
      </w:pP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Динамика поступивших в Обрнадзор Югры обращений по видам классиф</w:t>
      </w:r>
      <w:r w:rsidR="000C750D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икации представлена на рисунке 7</w:t>
      </w: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.</w:t>
      </w:r>
    </w:p>
    <w:p w:rsidR="0022571D" w:rsidRDefault="0022571D">
      <w:pPr>
        <w:pStyle w:val="af3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</w:pPr>
    </w:p>
    <w:p w:rsidR="0022571D" w:rsidRDefault="00733AAA">
      <w:pPr>
        <w:pStyle w:val="af3"/>
        <w:spacing w:after="0" w:line="240" w:lineRule="auto"/>
        <w:ind w:left="0" w:firstLine="720"/>
        <w:jc w:val="center"/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3027045" cy="1582420"/>
            <wp:effectExtent l="0" t="0" r="0" b="0"/>
            <wp:docPr id="10" name="Объект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22571D" w:rsidRDefault="000C750D" w:rsidP="000C750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Рис. 7</w:t>
      </w:r>
      <w:r w:rsidR="00733AA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 Динамика поступивших в Обрнадзор Югры обращений по видам классификации</w:t>
      </w:r>
    </w:p>
    <w:p w:rsidR="0022571D" w:rsidRDefault="0022571D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22571D" w:rsidRDefault="0067259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Отмечается значительное сокращение количества жалоб. Поступившая во 2 квартале 2019 года ж</w:t>
      </w:r>
      <w:r w:rsidR="00733AAA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алоба содержала вопросы, указывающие на бездействие Департамента образования </w:t>
      </w:r>
      <w:r w:rsidR="00B9410B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администрации </w:t>
      </w:r>
      <w:r w:rsidR="00733AAA">
        <w:rPr>
          <w:rFonts w:ascii="Times New Roman" w:eastAsia="Times New Roman" w:hAnsi="Times New Roman" w:cs="Times New Roman"/>
          <w:sz w:val="28"/>
          <w:szCs w:val="26"/>
          <w:lang w:eastAsia="ru-RU"/>
        </w:rPr>
        <w:t>города Сургута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, в отчетный период находится на рассмотрении</w:t>
      </w:r>
      <w:r w:rsidR="00733AAA">
        <w:rPr>
          <w:rFonts w:ascii="Times New Roman" w:eastAsia="Times New Roman" w:hAnsi="Times New Roman" w:cs="Times New Roman"/>
          <w:sz w:val="28"/>
          <w:szCs w:val="26"/>
          <w:lang w:eastAsia="ru-RU"/>
        </w:rPr>
        <w:t>.</w:t>
      </w:r>
    </w:p>
    <w:p w:rsidR="00672592" w:rsidRDefault="00672592">
      <w:pPr>
        <w:suppressAutoHyphens/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Увеличение количества поступивших во 2 квартале 2019 года заявлений, в сравнении с аналогичными периодами 2017, 2018 годов, связано с общим увеличением количества обращений, поступивших на рассмотрение в Службу.</w:t>
      </w:r>
    </w:p>
    <w:p w:rsidR="0022571D" w:rsidRDefault="00733AA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6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Общее количество вопросов, содержащихся в об</w:t>
      </w:r>
      <w:r w:rsidR="00D035ED">
        <w:rPr>
          <w:rFonts w:ascii="Times New Roman" w:eastAsia="Times New Roman" w:hAnsi="Times New Roman" w:cs="Times New Roman"/>
          <w:sz w:val="28"/>
          <w:szCs w:val="26"/>
          <w:lang w:eastAsia="ru-RU"/>
        </w:rPr>
        <w:t>ращениях граждан, составило – 93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, из них:</w:t>
      </w:r>
    </w:p>
    <w:p w:rsidR="0022571D" w:rsidRDefault="00D035ED">
      <w:pPr>
        <w:suppressAutoHyphens/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41 вопрос, содержащий</w:t>
      </w:r>
      <w:r w:rsidR="00733AAA">
        <w:rPr>
          <w:rFonts w:ascii="Times New Roman" w:eastAsia="Times New Roman" w:hAnsi="Times New Roman" w:cs="Times New Roman"/>
          <w:sz w:val="28"/>
          <w:szCs w:val="26"/>
          <w:lang w:eastAsia="ru-RU"/>
        </w:rPr>
        <w:t>ся в обращениях граждан, поступил</w:t>
      </w:r>
      <w:r w:rsidR="00672592">
        <w:rPr>
          <w:rFonts w:ascii="Times New Roman" w:eastAsia="Times New Roman" w:hAnsi="Times New Roman" w:cs="Times New Roman"/>
          <w:sz w:val="28"/>
          <w:szCs w:val="26"/>
          <w:lang w:eastAsia="ru-RU"/>
        </w:rPr>
        <w:t>и</w:t>
      </w:r>
      <w:r w:rsidR="00733AAA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на рассмотрение в Обрнадзор Югры непосредственно от заявителей;</w:t>
      </w:r>
    </w:p>
    <w:p w:rsidR="0022571D" w:rsidRDefault="00733AAA">
      <w:pPr>
        <w:suppressAutoHyphens/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52 вопроса, содержащиеся в обращениях граждан, поступили на рассмотрение в Обрнадзор Югры из других органов государственной власти. </w:t>
      </w:r>
    </w:p>
    <w:p w:rsidR="0022571D" w:rsidRDefault="0022571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22571D" w:rsidRPr="001856F5" w:rsidRDefault="001856F5" w:rsidP="001856F5">
      <w:pPr>
        <w:suppressAutoHyphens/>
        <w:spacing w:after="0" w:line="240" w:lineRule="auto"/>
        <w:ind w:left="644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12. </w:t>
      </w:r>
      <w:r w:rsidR="00733AAA" w:rsidRPr="001856F5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Предметы ведения (уровень компетенции) по вопросам, содержащимся в обращениях</w:t>
      </w:r>
    </w:p>
    <w:p w:rsidR="0022571D" w:rsidRDefault="0022571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22571D" w:rsidRDefault="00733AAA">
      <w:pPr>
        <w:suppressAutoHyphens/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Решение вопросов, поставленных в обращениях 2 квартала 2019 года, находится в ведении автономного округа</w:t>
      </w:r>
      <w:r w:rsidR="00B9410B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(88 вопросов, 94,6% от общего количества поступивших вопросов)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и муниципальных образований автономного округа</w:t>
      </w:r>
      <w:r w:rsidR="00B9410B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(5 вопросов, 5,4%)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. Вопросы, разрешение которых находится в ведении Российской Федерации, </w:t>
      </w:r>
      <w:r w:rsidR="00B9410B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в отчетный период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в Службу не поступали.</w:t>
      </w:r>
    </w:p>
    <w:p w:rsidR="0022571D" w:rsidRDefault="00733AAA">
      <w:pPr>
        <w:suppressAutoHyphens/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Сохраняется тенденция направления заявителями обращений в адрес Службы по вопросам, не относящимся к ее компетенции.</w:t>
      </w:r>
      <w:r w:rsidR="00D035ED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За отчетный период из 93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вопросов, содержащихся в обращениях, 20 вопросов (21,7%) Обрнадзором Югры </w:t>
      </w:r>
      <w:r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направлены для рассмотрения в органы государственной власти и местного самоуправления, </w:t>
      </w:r>
      <w:r>
        <w:rPr>
          <w:rFonts w:ascii="Times New Roman" w:eastAsia="Times New Roman" w:hAnsi="Times New Roman" w:cs="Times New Roman"/>
          <w:color w:val="000000"/>
          <w:sz w:val="28"/>
          <w:szCs w:val="32"/>
          <w:shd w:val="clear" w:color="auto" w:fill="FFFFFF"/>
          <w:lang w:eastAsia="ru-RU"/>
        </w:rPr>
        <w:t>в компетенцию которых входило решение поставленных в обращении вопросов:</w:t>
      </w:r>
    </w:p>
    <w:p w:rsidR="0022571D" w:rsidRDefault="00733AAA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Управление министерства внутренних дел России по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Ханты-Мансийскому автономному округу – Югре (5 вопросов);</w:t>
      </w:r>
    </w:p>
    <w:p w:rsidR="0022571D" w:rsidRDefault="00733AAA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Государственная инспекция труда в Ханты-Мансийском автономном округе – Югре (1 вопрос);</w:t>
      </w:r>
    </w:p>
    <w:p w:rsidR="0022571D" w:rsidRDefault="00733AAA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Роспотребнадзор по ХМАО – Югре (3 вопроса);</w:t>
      </w:r>
    </w:p>
    <w:p w:rsidR="00F80E0F" w:rsidRDefault="00F80E0F" w:rsidP="00F80E0F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6"/>
          <w:lang w:eastAsia="ru-RU"/>
        </w:rPr>
        <w:t xml:space="preserve">Департамент образования и молодежной политики </w:t>
      </w:r>
      <w:r>
        <w:rPr>
          <w:rFonts w:ascii="Times New Roman" w:eastAsia="Times New Roman" w:hAnsi="Times New Roman" w:cs="Times New Roman"/>
          <w:color w:val="000000"/>
          <w:sz w:val="28"/>
          <w:szCs w:val="26"/>
          <w:lang w:eastAsia="ru-RU"/>
        </w:rPr>
        <w:br/>
        <w:t>Ханты-Мансийского автономного округа – Югры (1 вопрос);</w:t>
      </w:r>
    </w:p>
    <w:p w:rsidR="0022571D" w:rsidRDefault="00733AAA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Администрация Кондинского района (3 вопроса);</w:t>
      </w:r>
    </w:p>
    <w:p w:rsidR="0022571D" w:rsidRDefault="00733AAA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Управление министерства внутренних дел России по городу Сургуту (5 вопросов);</w:t>
      </w:r>
    </w:p>
    <w:p w:rsidR="0022571D" w:rsidRDefault="00733AAA">
      <w:pPr>
        <w:suppressAutoHyphens/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32"/>
          <w:shd w:val="clear" w:color="auto" w:fill="FFFFFF"/>
          <w:lang w:eastAsia="ru-RU"/>
        </w:rPr>
        <w:t>Департамент образования администрации города Сургута (2 вопроса).</w:t>
      </w:r>
    </w:p>
    <w:p w:rsidR="0022571D" w:rsidRDefault="002257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22571D" w:rsidRDefault="001856F5" w:rsidP="009C37C6">
      <w:pPr>
        <w:pStyle w:val="af3"/>
        <w:spacing w:after="0" w:line="240" w:lineRule="auto"/>
        <w:ind w:left="1004"/>
      </w:pPr>
      <w:r>
        <w:rPr>
          <w:rFonts w:ascii="Times New Roman" w:eastAsia="Times New Roman" w:hAnsi="Times New Roman" w:cs="Times New Roman"/>
          <w:b/>
          <w:color w:val="0D0D0D" w:themeColor="text1" w:themeTint="F2"/>
          <w:spacing w:val="-6"/>
          <w:sz w:val="28"/>
          <w:szCs w:val="26"/>
          <w:lang w:eastAsia="ru-RU"/>
        </w:rPr>
        <w:t>13.</w:t>
      </w:r>
      <w:r w:rsidR="009C37C6">
        <w:rPr>
          <w:rFonts w:ascii="Times New Roman" w:eastAsia="Times New Roman" w:hAnsi="Times New Roman" w:cs="Times New Roman"/>
          <w:b/>
          <w:color w:val="0D0D0D" w:themeColor="text1" w:themeTint="F2"/>
          <w:spacing w:val="-6"/>
          <w:sz w:val="28"/>
          <w:szCs w:val="26"/>
          <w:lang w:eastAsia="ru-RU"/>
        </w:rPr>
        <w:t> </w:t>
      </w:r>
      <w:r w:rsidR="00733AAA">
        <w:rPr>
          <w:rFonts w:ascii="Times New Roman" w:eastAsia="Times New Roman" w:hAnsi="Times New Roman" w:cs="Times New Roman"/>
          <w:b/>
          <w:color w:val="0D0D0D" w:themeColor="text1" w:themeTint="F2"/>
          <w:spacing w:val="-6"/>
          <w:sz w:val="28"/>
          <w:szCs w:val="26"/>
          <w:lang w:eastAsia="ru-RU"/>
        </w:rPr>
        <w:t>Характеристика вопросов, содержащихся в обращениях</w:t>
      </w:r>
    </w:p>
    <w:p w:rsidR="0022571D" w:rsidRDefault="0022571D">
      <w:pPr>
        <w:pStyle w:val="af3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D0D0D" w:themeColor="text1" w:themeTint="F2"/>
          <w:spacing w:val="-6"/>
          <w:sz w:val="16"/>
          <w:szCs w:val="16"/>
          <w:lang w:eastAsia="ru-RU"/>
        </w:rPr>
      </w:pPr>
    </w:p>
    <w:p w:rsidR="0022571D" w:rsidRDefault="00F95FA0">
      <w:pPr>
        <w:pStyle w:val="af3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На рассмотрение в Обрнадзор</w:t>
      </w:r>
      <w:r w:rsidR="00733AAA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Югры в отчетный период </w:t>
      </w: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поступили</w:t>
      </w:r>
      <w:r w:rsidR="00733AAA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</w:t>
      </w:r>
      <w:r w:rsidR="00733AAA" w:rsidRPr="00586834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>вопросы тематическ</w:t>
      </w:r>
      <w:r w:rsidR="00F64589" w:rsidRPr="00586834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>их разделов</w:t>
      </w:r>
      <w:r w:rsidR="00733AAA" w:rsidRPr="00586834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 xml:space="preserve"> «Социальная сфера»</w:t>
      </w:r>
      <w:r w:rsidR="00F64589" w:rsidRPr="00586834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 xml:space="preserve"> - 79 вопросов, «Оборона, безопасность, законность» - 8 вопросов, «Экономика» - 2 вопроса, «Государство, общество, политика» - 4 вопроса</w:t>
      </w:r>
      <w:r w:rsidR="00733AAA" w:rsidRPr="00586834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 xml:space="preserve"> (в соответствии с Типовым</w:t>
      </w:r>
      <w:r w:rsidR="00733AAA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общероссийским классификатором обращений граждан, организаций и общественных объединений).</w:t>
      </w:r>
    </w:p>
    <w:p w:rsidR="0022571D" w:rsidRDefault="00733AAA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Данные о </w:t>
      </w:r>
      <w:r w:rsidR="00F80E0F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тематике</w:t>
      </w:r>
      <w:r w:rsidR="00F95FA0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, видах</w:t>
      </w:r>
      <w:r w:rsidR="00F80E0F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количестве вопросов, содержащихся в обращениях, </w:t>
      </w:r>
      <w:r w:rsidR="00F95FA0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поступивших в</w:t>
      </w:r>
      <w:r w:rsidR="00F80E0F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Обрнадзор Югры </w:t>
      </w: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во 2 квартале 2019</w:t>
      </w:r>
      <w:r w:rsidR="00F80E0F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, 2018 годов</w:t>
      </w: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, </w:t>
      </w:r>
      <w:r w:rsidR="002D0A27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1 квартале 2019 года, </w:t>
      </w: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представлен</w:t>
      </w:r>
      <w:r w:rsidR="006B5F80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ы</w:t>
      </w: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в таблице 3.</w:t>
      </w:r>
    </w:p>
    <w:p w:rsidR="0022571D" w:rsidRDefault="0022571D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D0D0D" w:themeColor="text1" w:themeTint="F2"/>
          <w:spacing w:val="-6"/>
          <w:sz w:val="24"/>
          <w:szCs w:val="24"/>
          <w:lang w:eastAsia="ru-RU"/>
        </w:rPr>
      </w:pPr>
    </w:p>
    <w:p w:rsidR="0022571D" w:rsidRDefault="00733AAA">
      <w:pPr>
        <w:spacing w:after="0" w:line="240" w:lineRule="auto"/>
        <w:ind w:firstLine="709"/>
        <w:jc w:val="right"/>
      </w:pP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4"/>
          <w:szCs w:val="24"/>
          <w:lang w:eastAsia="ru-RU"/>
        </w:rPr>
        <w:t>Таблица 3</w:t>
      </w:r>
    </w:p>
    <w:p w:rsidR="0022571D" w:rsidRDefault="00733AA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D0D0D" w:themeColor="text1" w:themeTint="F2"/>
          <w:spacing w:val="-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4"/>
          <w:szCs w:val="24"/>
          <w:lang w:eastAsia="ru-RU"/>
        </w:rPr>
        <w:t>Тематика</w:t>
      </w:r>
      <w:r w:rsidR="00F95FA0">
        <w:rPr>
          <w:rFonts w:ascii="Times New Roman" w:eastAsia="Times New Roman" w:hAnsi="Times New Roman" w:cs="Times New Roman"/>
          <w:color w:val="0D0D0D" w:themeColor="text1" w:themeTint="F2"/>
          <w:spacing w:val="-6"/>
          <w:sz w:val="24"/>
          <w:szCs w:val="24"/>
          <w:lang w:eastAsia="ru-RU"/>
        </w:rPr>
        <w:t>, виды</w:t>
      </w: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4"/>
          <w:szCs w:val="24"/>
          <w:lang w:eastAsia="ru-RU"/>
        </w:rPr>
        <w:t xml:space="preserve"> </w:t>
      </w:r>
      <w:r w:rsidR="00F80E0F">
        <w:rPr>
          <w:rFonts w:ascii="Times New Roman" w:eastAsia="Times New Roman" w:hAnsi="Times New Roman" w:cs="Times New Roman"/>
          <w:color w:val="0D0D0D" w:themeColor="text1" w:themeTint="F2"/>
          <w:spacing w:val="-6"/>
          <w:sz w:val="24"/>
          <w:szCs w:val="24"/>
          <w:lang w:eastAsia="ru-RU"/>
        </w:rPr>
        <w:t>и количество</w:t>
      </w: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4"/>
          <w:szCs w:val="24"/>
          <w:lang w:eastAsia="ru-RU"/>
        </w:rPr>
        <w:t xml:space="preserve"> вопросов, </w:t>
      </w:r>
      <w:r w:rsidR="00F80E0F">
        <w:rPr>
          <w:rFonts w:ascii="Times New Roman" w:eastAsia="Times New Roman" w:hAnsi="Times New Roman" w:cs="Times New Roman"/>
          <w:color w:val="0D0D0D" w:themeColor="text1" w:themeTint="F2"/>
          <w:spacing w:val="-6"/>
          <w:sz w:val="24"/>
          <w:szCs w:val="24"/>
          <w:lang w:eastAsia="ru-RU"/>
        </w:rPr>
        <w:t>содержащихся</w:t>
      </w: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4"/>
          <w:szCs w:val="24"/>
          <w:lang w:eastAsia="ru-RU"/>
        </w:rPr>
        <w:t xml:space="preserve"> в обращениях, </w:t>
      </w:r>
      <w:r w:rsidR="00F95FA0">
        <w:rPr>
          <w:rFonts w:ascii="Times New Roman" w:eastAsia="Times New Roman" w:hAnsi="Times New Roman" w:cs="Times New Roman"/>
          <w:color w:val="0D0D0D" w:themeColor="text1" w:themeTint="F2"/>
          <w:spacing w:val="-6"/>
          <w:sz w:val="24"/>
          <w:szCs w:val="24"/>
          <w:lang w:eastAsia="ru-RU"/>
        </w:rPr>
        <w:t>поступивших в</w:t>
      </w:r>
      <w:r w:rsidR="002D0A27">
        <w:rPr>
          <w:rFonts w:ascii="Times New Roman" w:eastAsia="Times New Roman" w:hAnsi="Times New Roman" w:cs="Times New Roman"/>
          <w:color w:val="0D0D0D" w:themeColor="text1" w:themeTint="F2"/>
          <w:spacing w:val="-6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4"/>
          <w:szCs w:val="24"/>
          <w:lang w:eastAsia="ru-RU"/>
        </w:rPr>
        <w:t>Обрнадзор Югры в</w:t>
      </w:r>
      <w:r w:rsidR="00F80E0F">
        <w:rPr>
          <w:rFonts w:ascii="Times New Roman" w:eastAsia="Times New Roman" w:hAnsi="Times New Roman" w:cs="Times New Roman"/>
          <w:color w:val="0D0D0D" w:themeColor="text1" w:themeTint="F2"/>
          <w:spacing w:val="-6"/>
          <w:sz w:val="24"/>
          <w:szCs w:val="24"/>
          <w:lang w:eastAsia="ru-RU"/>
        </w:rPr>
        <w:t>о 2 квартале 2019 и 2018 годов</w:t>
      </w:r>
      <w:r w:rsidR="002D0A27">
        <w:rPr>
          <w:rFonts w:ascii="Times New Roman" w:eastAsia="Times New Roman" w:hAnsi="Times New Roman" w:cs="Times New Roman"/>
          <w:color w:val="0D0D0D" w:themeColor="text1" w:themeTint="F2"/>
          <w:spacing w:val="-6"/>
          <w:sz w:val="24"/>
          <w:szCs w:val="24"/>
          <w:lang w:eastAsia="ru-RU"/>
        </w:rPr>
        <w:t>, 1 квартале 2019 года</w:t>
      </w:r>
    </w:p>
    <w:p w:rsidR="0022571D" w:rsidRDefault="002257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pacing w:val="-6"/>
          <w:sz w:val="24"/>
          <w:szCs w:val="24"/>
          <w:lang w:eastAsia="ru-RU"/>
        </w:rPr>
      </w:pPr>
    </w:p>
    <w:tbl>
      <w:tblPr>
        <w:tblStyle w:val="11"/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28"/>
        <w:gridCol w:w="1134"/>
        <w:gridCol w:w="1134"/>
        <w:gridCol w:w="1134"/>
        <w:gridCol w:w="1134"/>
        <w:gridCol w:w="1134"/>
      </w:tblGrid>
      <w:tr w:rsidR="00586834" w:rsidRPr="00F95FA0" w:rsidTr="00D91223">
        <w:trPr>
          <w:trHeight w:val="646"/>
        </w:trPr>
        <w:tc>
          <w:tcPr>
            <w:tcW w:w="3828" w:type="dxa"/>
          </w:tcPr>
          <w:p w:rsidR="00F95FA0" w:rsidRPr="00F95FA0" w:rsidRDefault="00F95FA0" w:rsidP="00F95F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6"/>
              </w:rPr>
            </w:pPr>
            <w:r w:rsidRPr="00F95FA0">
              <w:rPr>
                <w:rFonts w:ascii="Times New Roman" w:hAnsi="Times New Roman" w:cs="Times New Roman"/>
                <w:b/>
                <w:spacing w:val="-6"/>
              </w:rPr>
              <w:t>Вопросы</w:t>
            </w:r>
          </w:p>
        </w:tc>
        <w:tc>
          <w:tcPr>
            <w:tcW w:w="1134" w:type="dxa"/>
          </w:tcPr>
          <w:p w:rsidR="00F95FA0" w:rsidRPr="00F95FA0" w:rsidRDefault="00F95FA0" w:rsidP="00D9122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586834">
              <w:rPr>
                <w:rFonts w:ascii="Times New Roman" w:hAnsi="Times New Roman" w:cs="Times New Roman"/>
                <w:b/>
              </w:rPr>
              <w:t>2</w:t>
            </w:r>
            <w:r w:rsidRPr="00F95FA0">
              <w:rPr>
                <w:rFonts w:ascii="Times New Roman" w:hAnsi="Times New Roman" w:cs="Times New Roman"/>
                <w:b/>
              </w:rPr>
              <w:t xml:space="preserve"> квартал 201</w:t>
            </w:r>
            <w:r w:rsidRPr="00586834">
              <w:rPr>
                <w:rFonts w:ascii="Times New Roman" w:hAnsi="Times New Roman" w:cs="Times New Roman"/>
                <w:b/>
              </w:rPr>
              <w:t>9</w:t>
            </w:r>
            <w:r w:rsidRPr="00F95FA0">
              <w:rPr>
                <w:rFonts w:ascii="Times New Roman" w:hAnsi="Times New Roman" w:cs="Times New Roman"/>
                <w:b/>
              </w:rPr>
              <w:t xml:space="preserve"> г.</w:t>
            </w:r>
          </w:p>
        </w:tc>
        <w:tc>
          <w:tcPr>
            <w:tcW w:w="1134" w:type="dxa"/>
          </w:tcPr>
          <w:p w:rsidR="00F95FA0" w:rsidRPr="00F95FA0" w:rsidRDefault="00F95FA0" w:rsidP="00E179A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F95FA0">
              <w:rPr>
                <w:rFonts w:ascii="Times New Roman" w:hAnsi="Times New Roman" w:cs="Times New Roman"/>
                <w:b/>
              </w:rPr>
              <w:t>2 квартал 2018 г.</w:t>
            </w:r>
          </w:p>
        </w:tc>
        <w:tc>
          <w:tcPr>
            <w:tcW w:w="1134" w:type="dxa"/>
          </w:tcPr>
          <w:p w:rsidR="00F95FA0" w:rsidRPr="00F95FA0" w:rsidRDefault="00F95FA0" w:rsidP="00F95FA0">
            <w:pPr>
              <w:tabs>
                <w:tab w:val="left" w:pos="30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95FA0">
              <w:rPr>
                <w:rFonts w:ascii="Times New Roman" w:hAnsi="Times New Roman" w:cs="Times New Roman"/>
                <w:b/>
              </w:rPr>
              <w:t xml:space="preserve">Разница </w:t>
            </w:r>
          </w:p>
          <w:p w:rsidR="00F95FA0" w:rsidRPr="00F95FA0" w:rsidRDefault="00F95FA0" w:rsidP="00F95FA0">
            <w:pPr>
              <w:tabs>
                <w:tab w:val="left" w:pos="30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95FA0">
              <w:rPr>
                <w:rFonts w:ascii="Times New Roman" w:hAnsi="Times New Roman" w:cs="Times New Roman"/>
                <w:b/>
              </w:rPr>
              <w:t>(+,-)</w:t>
            </w:r>
          </w:p>
        </w:tc>
        <w:tc>
          <w:tcPr>
            <w:tcW w:w="1134" w:type="dxa"/>
          </w:tcPr>
          <w:p w:rsidR="00F95FA0" w:rsidRPr="00F95FA0" w:rsidRDefault="00F95FA0" w:rsidP="00F95FA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586834">
              <w:rPr>
                <w:rFonts w:ascii="Times New Roman" w:hAnsi="Times New Roman" w:cs="Times New Roman"/>
                <w:b/>
              </w:rPr>
              <w:t>1</w:t>
            </w:r>
            <w:r w:rsidRPr="00F95FA0">
              <w:rPr>
                <w:rFonts w:ascii="Times New Roman" w:hAnsi="Times New Roman" w:cs="Times New Roman"/>
                <w:b/>
              </w:rPr>
              <w:t xml:space="preserve"> квартал 201</w:t>
            </w:r>
            <w:r w:rsidRPr="00586834">
              <w:rPr>
                <w:rFonts w:ascii="Times New Roman" w:hAnsi="Times New Roman" w:cs="Times New Roman"/>
                <w:b/>
              </w:rPr>
              <w:t>9</w:t>
            </w:r>
            <w:r w:rsidRPr="00F95FA0">
              <w:rPr>
                <w:rFonts w:ascii="Times New Roman" w:hAnsi="Times New Roman" w:cs="Times New Roman"/>
                <w:b/>
              </w:rPr>
              <w:t xml:space="preserve"> г.</w:t>
            </w:r>
          </w:p>
        </w:tc>
        <w:tc>
          <w:tcPr>
            <w:tcW w:w="1134" w:type="dxa"/>
          </w:tcPr>
          <w:p w:rsidR="00F95FA0" w:rsidRPr="00F95FA0" w:rsidRDefault="00F95FA0" w:rsidP="00F95FA0">
            <w:pPr>
              <w:tabs>
                <w:tab w:val="left" w:pos="30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95FA0">
              <w:rPr>
                <w:rFonts w:ascii="Times New Roman" w:hAnsi="Times New Roman" w:cs="Times New Roman"/>
                <w:b/>
              </w:rPr>
              <w:t xml:space="preserve">Разница </w:t>
            </w:r>
          </w:p>
          <w:p w:rsidR="00F95FA0" w:rsidRPr="00F95FA0" w:rsidRDefault="00F95FA0" w:rsidP="00F95FA0">
            <w:pPr>
              <w:tabs>
                <w:tab w:val="left" w:pos="30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95FA0">
              <w:rPr>
                <w:rFonts w:ascii="Times New Roman" w:hAnsi="Times New Roman" w:cs="Times New Roman"/>
                <w:b/>
              </w:rPr>
              <w:t>(+,-)</w:t>
            </w:r>
          </w:p>
        </w:tc>
      </w:tr>
      <w:tr w:rsidR="00586834" w:rsidRPr="00586834" w:rsidTr="00D91223">
        <w:trPr>
          <w:trHeight w:val="344"/>
        </w:trPr>
        <w:tc>
          <w:tcPr>
            <w:tcW w:w="9498" w:type="dxa"/>
            <w:gridSpan w:val="6"/>
          </w:tcPr>
          <w:p w:rsidR="00F95FA0" w:rsidRPr="00F95FA0" w:rsidRDefault="00F95FA0" w:rsidP="00F95FA0">
            <w:pPr>
              <w:tabs>
                <w:tab w:val="left" w:pos="30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95FA0">
              <w:rPr>
                <w:rFonts w:ascii="Times New Roman" w:hAnsi="Times New Roman" w:cs="Times New Roman"/>
                <w:b/>
              </w:rPr>
              <w:t>1.Тематический раздел «Социальная сфера»</w:t>
            </w:r>
          </w:p>
        </w:tc>
      </w:tr>
      <w:tr w:rsidR="00586834" w:rsidRPr="00586834" w:rsidTr="00D91223">
        <w:trPr>
          <w:trHeight w:val="344"/>
        </w:trPr>
        <w:tc>
          <w:tcPr>
            <w:tcW w:w="9498" w:type="dxa"/>
            <w:gridSpan w:val="6"/>
          </w:tcPr>
          <w:p w:rsidR="00F95FA0" w:rsidRPr="00F95FA0" w:rsidRDefault="00F95FA0" w:rsidP="00F95FA0">
            <w:pPr>
              <w:tabs>
                <w:tab w:val="left" w:pos="30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95FA0">
              <w:rPr>
                <w:rFonts w:ascii="Times New Roman" w:hAnsi="Times New Roman" w:cs="Times New Roman"/>
                <w:b/>
              </w:rPr>
              <w:t>1.1.Тематика «Образование. Наука. Культура»</w:t>
            </w:r>
          </w:p>
        </w:tc>
      </w:tr>
      <w:tr w:rsidR="00586834" w:rsidRPr="00F95FA0" w:rsidTr="00D91223">
        <w:tc>
          <w:tcPr>
            <w:tcW w:w="3828" w:type="dxa"/>
          </w:tcPr>
          <w:p w:rsidR="00A41DF8" w:rsidRPr="00F95FA0" w:rsidRDefault="00A41DF8" w:rsidP="00F95FA0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586834">
              <w:rPr>
                <w:rFonts w:ascii="Times New Roman" w:hAnsi="Times New Roman" w:cs="Times New Roman"/>
                <w:spacing w:val="-6"/>
              </w:rPr>
              <w:t>Государственная итоговая аттестация обучающихся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A41DF8" w:rsidRPr="00F95FA0" w:rsidRDefault="00A41DF8" w:rsidP="00F95FA0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586834">
              <w:rPr>
                <w:rFonts w:ascii="Times New Roman" w:hAnsi="Times New Roman" w:cs="Times New Roman"/>
                <w:spacing w:val="-6"/>
              </w:rPr>
              <w:t>8 (8,6%)</w:t>
            </w:r>
          </w:p>
        </w:tc>
        <w:tc>
          <w:tcPr>
            <w:tcW w:w="1134" w:type="dxa"/>
          </w:tcPr>
          <w:p w:rsidR="00A41DF8" w:rsidRPr="00F95FA0" w:rsidRDefault="00A41DF8" w:rsidP="003E152B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586834">
              <w:rPr>
                <w:rFonts w:ascii="Times New Roman" w:hAnsi="Times New Roman" w:cs="Times New Roman"/>
                <w:spacing w:val="-6"/>
              </w:rPr>
              <w:t>0</w:t>
            </w:r>
          </w:p>
        </w:tc>
        <w:tc>
          <w:tcPr>
            <w:tcW w:w="1134" w:type="dxa"/>
          </w:tcPr>
          <w:p w:rsidR="00A41DF8" w:rsidRPr="00F95FA0" w:rsidRDefault="00A41DF8" w:rsidP="00F95FA0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586834">
              <w:rPr>
                <w:rFonts w:ascii="Times New Roman" w:hAnsi="Times New Roman" w:cs="Times New Roman"/>
                <w:spacing w:val="-6"/>
              </w:rPr>
              <w:t>+8,6%</w:t>
            </w:r>
          </w:p>
        </w:tc>
        <w:tc>
          <w:tcPr>
            <w:tcW w:w="1134" w:type="dxa"/>
          </w:tcPr>
          <w:p w:rsidR="00A41DF8" w:rsidRPr="00F95FA0" w:rsidRDefault="00A41DF8" w:rsidP="00D91223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586834">
              <w:rPr>
                <w:rFonts w:ascii="Times New Roman" w:hAnsi="Times New Roman" w:cs="Times New Roman"/>
                <w:spacing w:val="-6"/>
              </w:rPr>
              <w:t>0</w:t>
            </w:r>
          </w:p>
        </w:tc>
        <w:tc>
          <w:tcPr>
            <w:tcW w:w="1134" w:type="dxa"/>
          </w:tcPr>
          <w:p w:rsidR="00A41DF8" w:rsidRPr="00F95FA0" w:rsidRDefault="00A41DF8" w:rsidP="00D91223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586834">
              <w:rPr>
                <w:rFonts w:ascii="Times New Roman" w:hAnsi="Times New Roman" w:cs="Times New Roman"/>
                <w:spacing w:val="-6"/>
              </w:rPr>
              <w:t>+8,6%</w:t>
            </w:r>
          </w:p>
        </w:tc>
      </w:tr>
      <w:tr w:rsidR="00586834" w:rsidRPr="00F95FA0" w:rsidTr="00D91223">
        <w:tc>
          <w:tcPr>
            <w:tcW w:w="3828" w:type="dxa"/>
          </w:tcPr>
          <w:p w:rsidR="00A41DF8" w:rsidRPr="00F95FA0" w:rsidRDefault="00A41DF8" w:rsidP="00F95FA0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F95FA0">
              <w:rPr>
                <w:rFonts w:ascii="Times New Roman" w:hAnsi="Times New Roman" w:cs="Times New Roman"/>
                <w:spacing w:val="-6"/>
              </w:rPr>
              <w:t>Доставка обучающихся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A41DF8" w:rsidRPr="00F95FA0" w:rsidRDefault="00A41DF8" w:rsidP="00F95FA0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586834">
              <w:rPr>
                <w:rFonts w:ascii="Times New Roman" w:hAnsi="Times New Roman" w:cs="Times New Roman"/>
                <w:spacing w:val="-6"/>
              </w:rPr>
              <w:t>2 (2,2%)</w:t>
            </w:r>
          </w:p>
        </w:tc>
        <w:tc>
          <w:tcPr>
            <w:tcW w:w="1134" w:type="dxa"/>
          </w:tcPr>
          <w:p w:rsidR="00A41DF8" w:rsidRPr="00F95FA0" w:rsidRDefault="00A41DF8" w:rsidP="003E152B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F95FA0">
              <w:rPr>
                <w:rFonts w:ascii="Times New Roman" w:hAnsi="Times New Roman" w:cs="Times New Roman"/>
                <w:spacing w:val="-6"/>
              </w:rPr>
              <w:t>1 (3%)</w:t>
            </w:r>
          </w:p>
        </w:tc>
        <w:tc>
          <w:tcPr>
            <w:tcW w:w="1134" w:type="dxa"/>
          </w:tcPr>
          <w:p w:rsidR="00A41DF8" w:rsidRPr="00F95FA0" w:rsidRDefault="00A41DF8" w:rsidP="00F95FA0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F95FA0">
              <w:rPr>
                <w:rFonts w:ascii="Times New Roman" w:hAnsi="Times New Roman" w:cs="Times New Roman"/>
                <w:spacing w:val="-6"/>
              </w:rPr>
              <w:t>+3%</w:t>
            </w:r>
          </w:p>
        </w:tc>
        <w:tc>
          <w:tcPr>
            <w:tcW w:w="1134" w:type="dxa"/>
          </w:tcPr>
          <w:p w:rsidR="00A41DF8" w:rsidRPr="00F95FA0" w:rsidRDefault="00A41DF8" w:rsidP="00F95FA0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586834">
              <w:rPr>
                <w:rFonts w:ascii="Times New Roman" w:hAnsi="Times New Roman" w:cs="Times New Roman"/>
                <w:spacing w:val="-6"/>
              </w:rPr>
              <w:t>1 (2,2%)</w:t>
            </w:r>
          </w:p>
        </w:tc>
        <w:tc>
          <w:tcPr>
            <w:tcW w:w="1134" w:type="dxa"/>
          </w:tcPr>
          <w:p w:rsidR="00A41DF8" w:rsidRPr="00F95FA0" w:rsidRDefault="00A41DF8" w:rsidP="00F95FA0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F95FA0">
              <w:rPr>
                <w:rFonts w:ascii="Times New Roman" w:hAnsi="Times New Roman" w:cs="Times New Roman"/>
                <w:spacing w:val="-6"/>
              </w:rPr>
              <w:t>+3%</w:t>
            </w:r>
          </w:p>
        </w:tc>
      </w:tr>
      <w:tr w:rsidR="00586834" w:rsidRPr="00F95FA0" w:rsidTr="00D91223">
        <w:tc>
          <w:tcPr>
            <w:tcW w:w="3828" w:type="dxa"/>
          </w:tcPr>
          <w:p w:rsidR="00A41DF8" w:rsidRPr="00F95FA0" w:rsidRDefault="00A41DF8" w:rsidP="00F95FA0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F95FA0">
              <w:rPr>
                <w:rFonts w:ascii="Times New Roman" w:hAnsi="Times New Roman" w:cs="Times New Roman"/>
                <w:spacing w:val="-6"/>
              </w:rPr>
              <w:t>Заработная плата педагогических работников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A41DF8" w:rsidRPr="00F95FA0" w:rsidRDefault="00A41DF8" w:rsidP="00F95FA0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586834">
              <w:rPr>
                <w:rFonts w:ascii="Times New Roman" w:hAnsi="Times New Roman" w:cs="Times New Roman"/>
                <w:spacing w:val="-6"/>
              </w:rPr>
              <w:t>1 (1,1%)</w:t>
            </w:r>
          </w:p>
        </w:tc>
        <w:tc>
          <w:tcPr>
            <w:tcW w:w="1134" w:type="dxa"/>
          </w:tcPr>
          <w:p w:rsidR="00A41DF8" w:rsidRPr="00F95FA0" w:rsidRDefault="00A41DF8" w:rsidP="003E152B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F95FA0">
              <w:rPr>
                <w:rFonts w:ascii="Times New Roman" w:hAnsi="Times New Roman" w:cs="Times New Roman"/>
                <w:spacing w:val="-6"/>
              </w:rPr>
              <w:t>2 (6%)</w:t>
            </w:r>
          </w:p>
        </w:tc>
        <w:tc>
          <w:tcPr>
            <w:tcW w:w="1134" w:type="dxa"/>
          </w:tcPr>
          <w:p w:rsidR="00A41DF8" w:rsidRPr="00F95FA0" w:rsidRDefault="00A41DF8" w:rsidP="00F95FA0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F95FA0">
              <w:rPr>
                <w:rFonts w:ascii="Times New Roman" w:hAnsi="Times New Roman" w:cs="Times New Roman"/>
                <w:spacing w:val="-6"/>
              </w:rPr>
              <w:t>+3%</w:t>
            </w:r>
          </w:p>
        </w:tc>
        <w:tc>
          <w:tcPr>
            <w:tcW w:w="1134" w:type="dxa"/>
          </w:tcPr>
          <w:p w:rsidR="00A41DF8" w:rsidRPr="00F95FA0" w:rsidRDefault="00A41DF8" w:rsidP="00F95FA0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586834">
              <w:rPr>
                <w:rFonts w:ascii="Times New Roman" w:hAnsi="Times New Roman" w:cs="Times New Roman"/>
                <w:spacing w:val="-6"/>
              </w:rPr>
              <w:t>3 (6,7%)</w:t>
            </w:r>
          </w:p>
        </w:tc>
        <w:tc>
          <w:tcPr>
            <w:tcW w:w="1134" w:type="dxa"/>
          </w:tcPr>
          <w:p w:rsidR="00A41DF8" w:rsidRPr="00F95FA0" w:rsidRDefault="00A41DF8" w:rsidP="00F95FA0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F95FA0">
              <w:rPr>
                <w:rFonts w:ascii="Times New Roman" w:hAnsi="Times New Roman" w:cs="Times New Roman"/>
                <w:spacing w:val="-6"/>
              </w:rPr>
              <w:t>+2,3%</w:t>
            </w:r>
          </w:p>
        </w:tc>
      </w:tr>
      <w:tr w:rsidR="00A41DF8" w:rsidRPr="00586834" w:rsidTr="00D91223">
        <w:tc>
          <w:tcPr>
            <w:tcW w:w="3828" w:type="dxa"/>
          </w:tcPr>
          <w:p w:rsidR="00A41DF8" w:rsidRPr="00586834" w:rsidRDefault="00A41DF8" w:rsidP="00F95FA0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586834">
              <w:rPr>
                <w:rFonts w:ascii="Times New Roman" w:hAnsi="Times New Roman" w:cs="Times New Roman"/>
                <w:spacing w:val="-6"/>
              </w:rPr>
              <w:t>Контроль качества и надзор в сфере образования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A41DF8" w:rsidRPr="00586834" w:rsidRDefault="00A41DF8" w:rsidP="005C72E4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586834">
              <w:rPr>
                <w:rFonts w:ascii="Times New Roman" w:hAnsi="Times New Roman" w:cs="Times New Roman"/>
                <w:spacing w:val="-6"/>
              </w:rPr>
              <w:t>39 (42%)</w:t>
            </w:r>
          </w:p>
        </w:tc>
        <w:tc>
          <w:tcPr>
            <w:tcW w:w="1134" w:type="dxa"/>
          </w:tcPr>
          <w:p w:rsidR="00A41DF8" w:rsidRPr="00586834" w:rsidRDefault="00A41DF8" w:rsidP="003E152B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586834">
              <w:rPr>
                <w:rFonts w:ascii="Times New Roman" w:hAnsi="Times New Roman" w:cs="Times New Roman"/>
                <w:spacing w:val="-6"/>
              </w:rPr>
              <w:t>0</w:t>
            </w:r>
          </w:p>
        </w:tc>
        <w:tc>
          <w:tcPr>
            <w:tcW w:w="1134" w:type="dxa"/>
          </w:tcPr>
          <w:p w:rsidR="00A41DF8" w:rsidRPr="00586834" w:rsidRDefault="00A41DF8" w:rsidP="00F95FA0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586834">
              <w:rPr>
                <w:rFonts w:ascii="Times New Roman" w:hAnsi="Times New Roman" w:cs="Times New Roman"/>
                <w:spacing w:val="-6"/>
              </w:rPr>
              <w:t>+42%</w:t>
            </w:r>
          </w:p>
        </w:tc>
        <w:tc>
          <w:tcPr>
            <w:tcW w:w="1134" w:type="dxa"/>
          </w:tcPr>
          <w:p w:rsidR="00A41DF8" w:rsidRPr="00586834" w:rsidRDefault="00A41DF8" w:rsidP="00A41DF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586834">
              <w:rPr>
                <w:rFonts w:ascii="Times New Roman" w:hAnsi="Times New Roman" w:cs="Times New Roman"/>
                <w:spacing w:val="-6"/>
              </w:rPr>
              <w:t>19 (42,2%)</w:t>
            </w:r>
          </w:p>
        </w:tc>
        <w:tc>
          <w:tcPr>
            <w:tcW w:w="1134" w:type="dxa"/>
          </w:tcPr>
          <w:p w:rsidR="00A41DF8" w:rsidRPr="00586834" w:rsidRDefault="00A41DF8" w:rsidP="00F95FA0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586834">
              <w:rPr>
                <w:rFonts w:ascii="Times New Roman" w:hAnsi="Times New Roman" w:cs="Times New Roman"/>
                <w:spacing w:val="-6"/>
              </w:rPr>
              <w:t>-0,2%</w:t>
            </w:r>
          </w:p>
        </w:tc>
      </w:tr>
      <w:tr w:rsidR="00586834" w:rsidRPr="00F95FA0" w:rsidTr="00D91223">
        <w:tc>
          <w:tcPr>
            <w:tcW w:w="3828" w:type="dxa"/>
          </w:tcPr>
          <w:p w:rsidR="00A41DF8" w:rsidRPr="00F95FA0" w:rsidRDefault="00A41DF8" w:rsidP="00F95FA0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F95FA0">
              <w:rPr>
                <w:rFonts w:ascii="Times New Roman" w:hAnsi="Times New Roman" w:cs="Times New Roman"/>
                <w:spacing w:val="-6"/>
              </w:rPr>
              <w:t xml:space="preserve">Конфликтные ситуации в образовательных организациях 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A41DF8" w:rsidRPr="00F95FA0" w:rsidRDefault="00A41DF8" w:rsidP="00F95FA0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586834">
              <w:rPr>
                <w:rFonts w:ascii="Times New Roman" w:hAnsi="Times New Roman" w:cs="Times New Roman"/>
                <w:spacing w:val="-6"/>
              </w:rPr>
              <w:t>9 (9,7%)</w:t>
            </w:r>
          </w:p>
        </w:tc>
        <w:tc>
          <w:tcPr>
            <w:tcW w:w="1134" w:type="dxa"/>
          </w:tcPr>
          <w:p w:rsidR="00A41DF8" w:rsidRPr="00F95FA0" w:rsidRDefault="00A41DF8" w:rsidP="003E152B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F95FA0">
              <w:rPr>
                <w:rFonts w:ascii="Times New Roman" w:hAnsi="Times New Roman" w:cs="Times New Roman"/>
                <w:spacing w:val="-6"/>
              </w:rPr>
              <w:t>9 (27%)</w:t>
            </w:r>
          </w:p>
        </w:tc>
        <w:tc>
          <w:tcPr>
            <w:tcW w:w="1134" w:type="dxa"/>
          </w:tcPr>
          <w:p w:rsidR="00A41DF8" w:rsidRPr="00F95FA0" w:rsidRDefault="00A41DF8" w:rsidP="00F95FA0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586834">
              <w:rPr>
                <w:rFonts w:ascii="Times New Roman" w:hAnsi="Times New Roman" w:cs="Times New Roman"/>
                <w:spacing w:val="-6"/>
              </w:rPr>
              <w:t>-17,3</w:t>
            </w:r>
            <w:r w:rsidRPr="00F95FA0">
              <w:rPr>
                <w:rFonts w:ascii="Times New Roman" w:hAnsi="Times New Roman" w:cs="Times New Roman"/>
                <w:spacing w:val="-6"/>
              </w:rPr>
              <w:t>%</w:t>
            </w:r>
          </w:p>
        </w:tc>
        <w:tc>
          <w:tcPr>
            <w:tcW w:w="1134" w:type="dxa"/>
          </w:tcPr>
          <w:p w:rsidR="00A41DF8" w:rsidRPr="00F95FA0" w:rsidRDefault="00A41DF8" w:rsidP="00F95FA0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586834">
              <w:rPr>
                <w:rFonts w:ascii="Times New Roman" w:hAnsi="Times New Roman" w:cs="Times New Roman"/>
                <w:spacing w:val="-6"/>
              </w:rPr>
              <w:t>4 (8,9%)</w:t>
            </w:r>
          </w:p>
        </w:tc>
        <w:tc>
          <w:tcPr>
            <w:tcW w:w="1134" w:type="dxa"/>
          </w:tcPr>
          <w:p w:rsidR="00A41DF8" w:rsidRPr="00F95FA0" w:rsidRDefault="00A41DF8" w:rsidP="00A41DF8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F95FA0">
              <w:rPr>
                <w:rFonts w:ascii="Times New Roman" w:hAnsi="Times New Roman" w:cs="Times New Roman"/>
                <w:spacing w:val="-6"/>
              </w:rPr>
              <w:t>+</w:t>
            </w:r>
            <w:r w:rsidRPr="00586834">
              <w:rPr>
                <w:rFonts w:ascii="Times New Roman" w:hAnsi="Times New Roman" w:cs="Times New Roman"/>
                <w:spacing w:val="-6"/>
              </w:rPr>
              <w:t>0,8</w:t>
            </w:r>
            <w:r w:rsidRPr="00F95FA0">
              <w:rPr>
                <w:rFonts w:ascii="Times New Roman" w:hAnsi="Times New Roman" w:cs="Times New Roman"/>
                <w:spacing w:val="-6"/>
              </w:rPr>
              <w:t>%</w:t>
            </w:r>
          </w:p>
        </w:tc>
      </w:tr>
      <w:tr w:rsidR="00A41DF8" w:rsidRPr="00586834" w:rsidTr="00D91223">
        <w:tc>
          <w:tcPr>
            <w:tcW w:w="3828" w:type="dxa"/>
          </w:tcPr>
          <w:p w:rsidR="00A41DF8" w:rsidRPr="00586834" w:rsidRDefault="00A41DF8" w:rsidP="00F95FA0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586834">
              <w:rPr>
                <w:rFonts w:ascii="Times New Roman" w:hAnsi="Times New Roman" w:cs="Times New Roman"/>
                <w:spacing w:val="-6"/>
              </w:rPr>
              <w:t>Материально-техническое и информационное обеспечение образовательного процесса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A41DF8" w:rsidRPr="00F95FA0" w:rsidRDefault="00A41DF8" w:rsidP="00D91223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586834">
              <w:rPr>
                <w:rFonts w:ascii="Times New Roman" w:hAnsi="Times New Roman" w:cs="Times New Roman"/>
                <w:spacing w:val="-6"/>
              </w:rPr>
              <w:t>1 (1,1%)</w:t>
            </w:r>
          </w:p>
        </w:tc>
        <w:tc>
          <w:tcPr>
            <w:tcW w:w="1134" w:type="dxa"/>
          </w:tcPr>
          <w:p w:rsidR="00A41DF8" w:rsidRPr="00586834" w:rsidRDefault="00A41DF8" w:rsidP="003E152B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586834">
              <w:rPr>
                <w:rFonts w:ascii="Times New Roman" w:hAnsi="Times New Roman" w:cs="Times New Roman"/>
                <w:spacing w:val="-6"/>
              </w:rPr>
              <w:t>0</w:t>
            </w:r>
          </w:p>
        </w:tc>
        <w:tc>
          <w:tcPr>
            <w:tcW w:w="1134" w:type="dxa"/>
          </w:tcPr>
          <w:p w:rsidR="00A41DF8" w:rsidRPr="00586834" w:rsidRDefault="00A41DF8" w:rsidP="00F95FA0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586834">
              <w:rPr>
                <w:rFonts w:ascii="Times New Roman" w:hAnsi="Times New Roman" w:cs="Times New Roman"/>
                <w:spacing w:val="-6"/>
              </w:rPr>
              <w:t>+1,1%</w:t>
            </w:r>
          </w:p>
        </w:tc>
        <w:tc>
          <w:tcPr>
            <w:tcW w:w="1134" w:type="dxa"/>
          </w:tcPr>
          <w:p w:rsidR="00A41DF8" w:rsidRPr="00F95FA0" w:rsidRDefault="00A41DF8" w:rsidP="00D91223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586834">
              <w:rPr>
                <w:rFonts w:ascii="Times New Roman" w:hAnsi="Times New Roman" w:cs="Times New Roman"/>
                <w:spacing w:val="-6"/>
              </w:rPr>
              <w:t>1 (2,2%)</w:t>
            </w:r>
          </w:p>
        </w:tc>
        <w:tc>
          <w:tcPr>
            <w:tcW w:w="1134" w:type="dxa"/>
          </w:tcPr>
          <w:p w:rsidR="00A41DF8" w:rsidRPr="00586834" w:rsidRDefault="00A41DF8" w:rsidP="00F95FA0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586834">
              <w:rPr>
                <w:rFonts w:ascii="Times New Roman" w:hAnsi="Times New Roman" w:cs="Times New Roman"/>
                <w:spacing w:val="-6"/>
              </w:rPr>
              <w:t>-1,1%</w:t>
            </w:r>
          </w:p>
        </w:tc>
      </w:tr>
      <w:tr w:rsidR="00586834" w:rsidRPr="00586834" w:rsidTr="00D91223">
        <w:tc>
          <w:tcPr>
            <w:tcW w:w="3828" w:type="dxa"/>
          </w:tcPr>
          <w:p w:rsidR="00A41DF8" w:rsidRPr="00586834" w:rsidRDefault="00A41DF8" w:rsidP="00F95FA0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586834">
              <w:rPr>
                <w:rFonts w:ascii="Times New Roman" w:hAnsi="Times New Roman" w:cs="Times New Roman"/>
                <w:spacing w:val="-6"/>
              </w:rPr>
              <w:t>Образование, полученное в иностранном государстве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A41DF8" w:rsidRPr="00586834" w:rsidRDefault="00A41DF8" w:rsidP="00F95FA0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586834">
              <w:rPr>
                <w:rFonts w:ascii="Times New Roman" w:hAnsi="Times New Roman" w:cs="Times New Roman"/>
                <w:spacing w:val="-6"/>
              </w:rPr>
              <w:t>4 (4,3%)</w:t>
            </w:r>
          </w:p>
        </w:tc>
        <w:tc>
          <w:tcPr>
            <w:tcW w:w="1134" w:type="dxa"/>
          </w:tcPr>
          <w:p w:rsidR="00A41DF8" w:rsidRPr="00586834" w:rsidRDefault="00A41DF8" w:rsidP="003E152B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586834">
              <w:rPr>
                <w:rFonts w:ascii="Times New Roman" w:hAnsi="Times New Roman" w:cs="Times New Roman"/>
                <w:spacing w:val="-6"/>
              </w:rPr>
              <w:t>0</w:t>
            </w:r>
          </w:p>
        </w:tc>
        <w:tc>
          <w:tcPr>
            <w:tcW w:w="1134" w:type="dxa"/>
          </w:tcPr>
          <w:p w:rsidR="00A41DF8" w:rsidRPr="00586834" w:rsidRDefault="00A41DF8" w:rsidP="00F95FA0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586834">
              <w:rPr>
                <w:rFonts w:ascii="Times New Roman" w:hAnsi="Times New Roman" w:cs="Times New Roman"/>
                <w:spacing w:val="-6"/>
              </w:rPr>
              <w:t>+4,3%</w:t>
            </w:r>
          </w:p>
        </w:tc>
        <w:tc>
          <w:tcPr>
            <w:tcW w:w="1134" w:type="dxa"/>
          </w:tcPr>
          <w:p w:rsidR="00A41DF8" w:rsidRPr="00586834" w:rsidRDefault="00A41DF8" w:rsidP="00D91223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586834">
              <w:rPr>
                <w:rFonts w:ascii="Times New Roman" w:hAnsi="Times New Roman" w:cs="Times New Roman"/>
                <w:spacing w:val="-6"/>
              </w:rPr>
              <w:t>0</w:t>
            </w:r>
          </w:p>
        </w:tc>
        <w:tc>
          <w:tcPr>
            <w:tcW w:w="1134" w:type="dxa"/>
          </w:tcPr>
          <w:p w:rsidR="00A41DF8" w:rsidRPr="00586834" w:rsidRDefault="00A41DF8" w:rsidP="00D91223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586834">
              <w:rPr>
                <w:rFonts w:ascii="Times New Roman" w:hAnsi="Times New Roman" w:cs="Times New Roman"/>
                <w:spacing w:val="-6"/>
              </w:rPr>
              <w:t>+4,3%</w:t>
            </w:r>
          </w:p>
        </w:tc>
      </w:tr>
      <w:tr w:rsidR="00586834" w:rsidRPr="00F95FA0" w:rsidTr="00D91223">
        <w:tc>
          <w:tcPr>
            <w:tcW w:w="3828" w:type="dxa"/>
          </w:tcPr>
          <w:p w:rsidR="00A41DF8" w:rsidRPr="00F95FA0" w:rsidRDefault="00A41DF8" w:rsidP="00F95FA0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F95FA0">
              <w:rPr>
                <w:rFonts w:ascii="Times New Roman" w:hAnsi="Times New Roman" w:cs="Times New Roman"/>
                <w:spacing w:val="-6"/>
              </w:rPr>
              <w:t>Образовательные стандарты, требования к образовательному процессу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A41DF8" w:rsidRPr="00F95FA0" w:rsidRDefault="00A41DF8" w:rsidP="00F95FA0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586834">
              <w:rPr>
                <w:rFonts w:ascii="Times New Roman" w:hAnsi="Times New Roman" w:cs="Times New Roman"/>
                <w:spacing w:val="-6"/>
              </w:rPr>
              <w:t>6 (6,5%)</w:t>
            </w:r>
          </w:p>
        </w:tc>
        <w:tc>
          <w:tcPr>
            <w:tcW w:w="1134" w:type="dxa"/>
          </w:tcPr>
          <w:p w:rsidR="00A41DF8" w:rsidRPr="00F95FA0" w:rsidRDefault="00A41DF8" w:rsidP="003E152B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F95FA0">
              <w:rPr>
                <w:rFonts w:ascii="Times New Roman" w:hAnsi="Times New Roman" w:cs="Times New Roman"/>
                <w:spacing w:val="-6"/>
              </w:rPr>
              <w:t>6 (18%)</w:t>
            </w:r>
          </w:p>
        </w:tc>
        <w:tc>
          <w:tcPr>
            <w:tcW w:w="1134" w:type="dxa"/>
          </w:tcPr>
          <w:p w:rsidR="00A41DF8" w:rsidRPr="00F95FA0" w:rsidRDefault="00A41DF8" w:rsidP="002B5AEA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F95FA0">
              <w:rPr>
                <w:rFonts w:ascii="Times New Roman" w:hAnsi="Times New Roman" w:cs="Times New Roman"/>
                <w:spacing w:val="-6"/>
              </w:rPr>
              <w:t>-</w:t>
            </w:r>
            <w:r w:rsidRPr="00586834">
              <w:rPr>
                <w:rFonts w:ascii="Times New Roman" w:hAnsi="Times New Roman" w:cs="Times New Roman"/>
                <w:spacing w:val="-6"/>
              </w:rPr>
              <w:t>11,5</w:t>
            </w:r>
            <w:r w:rsidRPr="00F95FA0">
              <w:rPr>
                <w:rFonts w:ascii="Times New Roman" w:hAnsi="Times New Roman" w:cs="Times New Roman"/>
                <w:spacing w:val="-6"/>
              </w:rPr>
              <w:t>%</w:t>
            </w:r>
          </w:p>
        </w:tc>
        <w:tc>
          <w:tcPr>
            <w:tcW w:w="1134" w:type="dxa"/>
          </w:tcPr>
          <w:p w:rsidR="00A41DF8" w:rsidRPr="00F95FA0" w:rsidRDefault="00A41DF8" w:rsidP="00F95FA0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586834">
              <w:rPr>
                <w:rFonts w:ascii="Times New Roman" w:hAnsi="Times New Roman" w:cs="Times New Roman"/>
                <w:spacing w:val="-6"/>
              </w:rPr>
              <w:t>5 (11,1%)</w:t>
            </w:r>
          </w:p>
        </w:tc>
        <w:tc>
          <w:tcPr>
            <w:tcW w:w="1134" w:type="dxa"/>
          </w:tcPr>
          <w:p w:rsidR="00A41DF8" w:rsidRPr="00F95FA0" w:rsidRDefault="00A41DF8" w:rsidP="00A41DF8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F95FA0">
              <w:rPr>
                <w:rFonts w:ascii="Times New Roman" w:hAnsi="Times New Roman" w:cs="Times New Roman"/>
                <w:spacing w:val="-6"/>
              </w:rPr>
              <w:t>-</w:t>
            </w:r>
            <w:r w:rsidRPr="00586834">
              <w:rPr>
                <w:rFonts w:ascii="Times New Roman" w:hAnsi="Times New Roman" w:cs="Times New Roman"/>
                <w:spacing w:val="-6"/>
              </w:rPr>
              <w:t>4,6</w:t>
            </w:r>
            <w:r w:rsidRPr="00F95FA0">
              <w:rPr>
                <w:rFonts w:ascii="Times New Roman" w:hAnsi="Times New Roman" w:cs="Times New Roman"/>
                <w:spacing w:val="-6"/>
              </w:rPr>
              <w:t>%</w:t>
            </w:r>
          </w:p>
        </w:tc>
      </w:tr>
      <w:tr w:rsidR="00586834" w:rsidRPr="00586834" w:rsidTr="00D91223">
        <w:tc>
          <w:tcPr>
            <w:tcW w:w="3828" w:type="dxa"/>
          </w:tcPr>
          <w:p w:rsidR="00A41DF8" w:rsidRPr="00586834" w:rsidRDefault="00A41DF8" w:rsidP="00F95FA0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586834">
              <w:rPr>
                <w:rFonts w:ascii="Times New Roman" w:hAnsi="Times New Roman" w:cs="Times New Roman"/>
                <w:spacing w:val="-6"/>
              </w:rPr>
              <w:t>Переподготовка и повышение квалификации педагогических работников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A41DF8" w:rsidRPr="00F95FA0" w:rsidRDefault="00A41DF8" w:rsidP="00D91223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586834">
              <w:rPr>
                <w:rFonts w:ascii="Times New Roman" w:hAnsi="Times New Roman" w:cs="Times New Roman"/>
                <w:spacing w:val="-6"/>
              </w:rPr>
              <w:t>1 (1,1%)</w:t>
            </w:r>
          </w:p>
        </w:tc>
        <w:tc>
          <w:tcPr>
            <w:tcW w:w="1134" w:type="dxa"/>
          </w:tcPr>
          <w:p w:rsidR="00A41DF8" w:rsidRPr="00586834" w:rsidRDefault="00A41DF8" w:rsidP="003E152B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586834">
              <w:rPr>
                <w:rFonts w:ascii="Times New Roman" w:hAnsi="Times New Roman" w:cs="Times New Roman"/>
                <w:spacing w:val="-6"/>
              </w:rPr>
              <w:t>0</w:t>
            </w:r>
          </w:p>
        </w:tc>
        <w:tc>
          <w:tcPr>
            <w:tcW w:w="1134" w:type="dxa"/>
          </w:tcPr>
          <w:p w:rsidR="00A41DF8" w:rsidRPr="00586834" w:rsidRDefault="00A41DF8" w:rsidP="00F95FA0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586834">
              <w:rPr>
                <w:rFonts w:ascii="Times New Roman" w:hAnsi="Times New Roman" w:cs="Times New Roman"/>
                <w:spacing w:val="-6"/>
              </w:rPr>
              <w:t>+1,1%</w:t>
            </w:r>
          </w:p>
        </w:tc>
        <w:tc>
          <w:tcPr>
            <w:tcW w:w="1134" w:type="dxa"/>
          </w:tcPr>
          <w:p w:rsidR="00A41DF8" w:rsidRPr="00586834" w:rsidRDefault="00A41DF8" w:rsidP="00D91223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586834">
              <w:rPr>
                <w:rFonts w:ascii="Times New Roman" w:hAnsi="Times New Roman" w:cs="Times New Roman"/>
                <w:spacing w:val="-6"/>
              </w:rPr>
              <w:t>0</w:t>
            </w:r>
          </w:p>
        </w:tc>
        <w:tc>
          <w:tcPr>
            <w:tcW w:w="1134" w:type="dxa"/>
          </w:tcPr>
          <w:p w:rsidR="00A41DF8" w:rsidRPr="00586834" w:rsidRDefault="00A41DF8" w:rsidP="00D91223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586834">
              <w:rPr>
                <w:rFonts w:ascii="Times New Roman" w:hAnsi="Times New Roman" w:cs="Times New Roman"/>
                <w:spacing w:val="-6"/>
              </w:rPr>
              <w:t>+1,1%</w:t>
            </w:r>
          </w:p>
        </w:tc>
      </w:tr>
      <w:tr w:rsidR="00586834" w:rsidRPr="00F95FA0" w:rsidTr="00D91223">
        <w:tc>
          <w:tcPr>
            <w:tcW w:w="3828" w:type="dxa"/>
          </w:tcPr>
          <w:p w:rsidR="00A41DF8" w:rsidRPr="00F95FA0" w:rsidRDefault="00A41DF8" w:rsidP="00F95FA0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F95FA0">
              <w:rPr>
                <w:rFonts w:ascii="Times New Roman" w:hAnsi="Times New Roman" w:cs="Times New Roman"/>
                <w:spacing w:val="-6"/>
              </w:rPr>
              <w:t>Питание обучающихся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A41DF8" w:rsidRPr="00F95FA0" w:rsidRDefault="00A41DF8" w:rsidP="00F95FA0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586834">
              <w:rPr>
                <w:rFonts w:ascii="Times New Roman" w:hAnsi="Times New Roman" w:cs="Times New Roman"/>
                <w:spacing w:val="-6"/>
              </w:rPr>
              <w:t>3 (3,2%)</w:t>
            </w:r>
          </w:p>
        </w:tc>
        <w:tc>
          <w:tcPr>
            <w:tcW w:w="1134" w:type="dxa"/>
          </w:tcPr>
          <w:p w:rsidR="00A41DF8" w:rsidRPr="00F95FA0" w:rsidRDefault="00A41DF8" w:rsidP="003E152B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F95FA0">
              <w:rPr>
                <w:rFonts w:ascii="Times New Roman" w:hAnsi="Times New Roman" w:cs="Times New Roman"/>
                <w:spacing w:val="-6"/>
              </w:rPr>
              <w:t>1 (3%)</w:t>
            </w:r>
          </w:p>
        </w:tc>
        <w:tc>
          <w:tcPr>
            <w:tcW w:w="1134" w:type="dxa"/>
          </w:tcPr>
          <w:p w:rsidR="00A41DF8" w:rsidRPr="00F95FA0" w:rsidRDefault="00A41DF8" w:rsidP="002B5AEA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F95FA0">
              <w:rPr>
                <w:rFonts w:ascii="Times New Roman" w:hAnsi="Times New Roman" w:cs="Times New Roman"/>
                <w:spacing w:val="-6"/>
              </w:rPr>
              <w:t>+</w:t>
            </w:r>
            <w:r w:rsidRPr="00586834">
              <w:rPr>
                <w:rFonts w:ascii="Times New Roman" w:hAnsi="Times New Roman" w:cs="Times New Roman"/>
                <w:spacing w:val="-6"/>
              </w:rPr>
              <w:t>0,2</w:t>
            </w:r>
            <w:r w:rsidRPr="00F95FA0">
              <w:rPr>
                <w:rFonts w:ascii="Times New Roman" w:hAnsi="Times New Roman" w:cs="Times New Roman"/>
                <w:spacing w:val="-6"/>
              </w:rPr>
              <w:t>%</w:t>
            </w:r>
          </w:p>
        </w:tc>
        <w:tc>
          <w:tcPr>
            <w:tcW w:w="1134" w:type="dxa"/>
          </w:tcPr>
          <w:p w:rsidR="00A41DF8" w:rsidRPr="00F95FA0" w:rsidRDefault="00A41DF8" w:rsidP="00F95FA0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586834">
              <w:rPr>
                <w:rFonts w:ascii="Times New Roman" w:hAnsi="Times New Roman" w:cs="Times New Roman"/>
                <w:spacing w:val="-6"/>
              </w:rPr>
              <w:t>0</w:t>
            </w:r>
          </w:p>
        </w:tc>
        <w:tc>
          <w:tcPr>
            <w:tcW w:w="1134" w:type="dxa"/>
          </w:tcPr>
          <w:p w:rsidR="00A41DF8" w:rsidRPr="00F95FA0" w:rsidRDefault="00A41DF8" w:rsidP="00F95FA0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F95FA0">
              <w:rPr>
                <w:rFonts w:ascii="Times New Roman" w:hAnsi="Times New Roman" w:cs="Times New Roman"/>
                <w:spacing w:val="-6"/>
              </w:rPr>
              <w:t>+3</w:t>
            </w:r>
            <w:r w:rsidRPr="00586834">
              <w:rPr>
                <w:rFonts w:ascii="Times New Roman" w:hAnsi="Times New Roman" w:cs="Times New Roman"/>
                <w:spacing w:val="-6"/>
              </w:rPr>
              <w:t>,2</w:t>
            </w:r>
            <w:r w:rsidRPr="00F95FA0">
              <w:rPr>
                <w:rFonts w:ascii="Times New Roman" w:hAnsi="Times New Roman" w:cs="Times New Roman"/>
                <w:spacing w:val="-6"/>
              </w:rPr>
              <w:t>%</w:t>
            </w:r>
          </w:p>
        </w:tc>
      </w:tr>
      <w:tr w:rsidR="00586834" w:rsidRPr="00F95FA0" w:rsidTr="00D91223">
        <w:tc>
          <w:tcPr>
            <w:tcW w:w="3828" w:type="dxa"/>
          </w:tcPr>
          <w:p w:rsidR="00A41DF8" w:rsidRPr="00F95FA0" w:rsidRDefault="00A41DF8" w:rsidP="00F95FA0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F95FA0">
              <w:rPr>
                <w:rFonts w:ascii="Times New Roman" w:hAnsi="Times New Roman" w:cs="Times New Roman"/>
                <w:spacing w:val="-6"/>
              </w:rPr>
              <w:t xml:space="preserve">Поступление в образовательные </w:t>
            </w:r>
            <w:r w:rsidRPr="00F95FA0">
              <w:rPr>
                <w:rFonts w:ascii="Times New Roman" w:hAnsi="Times New Roman" w:cs="Times New Roman"/>
                <w:spacing w:val="-6"/>
              </w:rPr>
              <w:lastRenderedPageBreak/>
              <w:t>организации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A41DF8" w:rsidRPr="00F95FA0" w:rsidRDefault="00A41DF8" w:rsidP="00D91223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586834">
              <w:rPr>
                <w:rFonts w:ascii="Times New Roman" w:hAnsi="Times New Roman" w:cs="Times New Roman"/>
                <w:spacing w:val="-6"/>
              </w:rPr>
              <w:lastRenderedPageBreak/>
              <w:t>2 (2,2%)</w:t>
            </w:r>
          </w:p>
        </w:tc>
        <w:tc>
          <w:tcPr>
            <w:tcW w:w="1134" w:type="dxa"/>
          </w:tcPr>
          <w:p w:rsidR="00A41DF8" w:rsidRPr="00F95FA0" w:rsidRDefault="00A41DF8" w:rsidP="003E152B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F95FA0">
              <w:rPr>
                <w:rFonts w:ascii="Times New Roman" w:hAnsi="Times New Roman" w:cs="Times New Roman"/>
                <w:spacing w:val="-6"/>
              </w:rPr>
              <w:t>3 (9%)</w:t>
            </w:r>
          </w:p>
        </w:tc>
        <w:tc>
          <w:tcPr>
            <w:tcW w:w="1134" w:type="dxa"/>
          </w:tcPr>
          <w:p w:rsidR="00A41DF8" w:rsidRPr="00F95FA0" w:rsidRDefault="00A41DF8" w:rsidP="00F95FA0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586834">
              <w:rPr>
                <w:rFonts w:ascii="Times New Roman" w:hAnsi="Times New Roman" w:cs="Times New Roman"/>
                <w:spacing w:val="-6"/>
              </w:rPr>
              <w:t>-6,8</w:t>
            </w:r>
            <w:r w:rsidRPr="00F95FA0">
              <w:rPr>
                <w:rFonts w:ascii="Times New Roman" w:hAnsi="Times New Roman" w:cs="Times New Roman"/>
                <w:spacing w:val="-6"/>
              </w:rPr>
              <w:t>%</w:t>
            </w:r>
          </w:p>
        </w:tc>
        <w:tc>
          <w:tcPr>
            <w:tcW w:w="1134" w:type="dxa"/>
          </w:tcPr>
          <w:p w:rsidR="00A41DF8" w:rsidRPr="00F95FA0" w:rsidRDefault="00A41DF8" w:rsidP="00F95FA0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586834">
              <w:rPr>
                <w:rFonts w:ascii="Times New Roman" w:hAnsi="Times New Roman" w:cs="Times New Roman"/>
                <w:spacing w:val="-6"/>
              </w:rPr>
              <w:t>2 (4,4%)</w:t>
            </w:r>
          </w:p>
        </w:tc>
        <w:tc>
          <w:tcPr>
            <w:tcW w:w="1134" w:type="dxa"/>
          </w:tcPr>
          <w:p w:rsidR="00A41DF8" w:rsidRPr="00F95FA0" w:rsidRDefault="00A41DF8" w:rsidP="00A41DF8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F95FA0">
              <w:rPr>
                <w:rFonts w:ascii="Times New Roman" w:hAnsi="Times New Roman" w:cs="Times New Roman"/>
                <w:spacing w:val="-6"/>
              </w:rPr>
              <w:t>+</w:t>
            </w:r>
            <w:r w:rsidRPr="00586834">
              <w:rPr>
                <w:rFonts w:ascii="Times New Roman" w:hAnsi="Times New Roman" w:cs="Times New Roman"/>
                <w:spacing w:val="-6"/>
              </w:rPr>
              <w:t>2,2</w:t>
            </w:r>
            <w:r w:rsidRPr="00F95FA0">
              <w:rPr>
                <w:rFonts w:ascii="Times New Roman" w:hAnsi="Times New Roman" w:cs="Times New Roman"/>
                <w:spacing w:val="-6"/>
              </w:rPr>
              <w:t>%</w:t>
            </w:r>
          </w:p>
        </w:tc>
      </w:tr>
      <w:tr w:rsidR="00586834" w:rsidRPr="00586834" w:rsidTr="00D91223">
        <w:tc>
          <w:tcPr>
            <w:tcW w:w="9498" w:type="dxa"/>
            <w:gridSpan w:val="6"/>
          </w:tcPr>
          <w:p w:rsidR="00A41DF8" w:rsidRPr="00F95FA0" w:rsidRDefault="00A41DF8" w:rsidP="00F95FA0">
            <w:pPr>
              <w:tabs>
                <w:tab w:val="left" w:pos="30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95FA0">
              <w:rPr>
                <w:rFonts w:ascii="Times New Roman" w:hAnsi="Times New Roman" w:cs="Times New Roman"/>
                <w:b/>
              </w:rPr>
              <w:lastRenderedPageBreak/>
              <w:t>1.2.Тематика «Труд и занятость населения»</w:t>
            </w:r>
          </w:p>
        </w:tc>
      </w:tr>
      <w:tr w:rsidR="00586834" w:rsidRPr="00586834" w:rsidTr="00D91223">
        <w:tc>
          <w:tcPr>
            <w:tcW w:w="3828" w:type="dxa"/>
          </w:tcPr>
          <w:p w:rsidR="00A41DF8" w:rsidRPr="00586834" w:rsidRDefault="00A41DF8" w:rsidP="00F95FA0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586834">
              <w:rPr>
                <w:rFonts w:ascii="Times New Roman" w:hAnsi="Times New Roman" w:cs="Times New Roman"/>
                <w:spacing w:val="-6"/>
              </w:rPr>
              <w:t>Надзор и контроль за соблюдением трудового законодательства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A41DF8" w:rsidRPr="00F95FA0" w:rsidRDefault="00A41DF8" w:rsidP="00D91223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586834">
              <w:rPr>
                <w:rFonts w:ascii="Times New Roman" w:hAnsi="Times New Roman" w:cs="Times New Roman"/>
                <w:spacing w:val="-6"/>
              </w:rPr>
              <w:t>1 (1,1%)</w:t>
            </w:r>
          </w:p>
        </w:tc>
        <w:tc>
          <w:tcPr>
            <w:tcW w:w="1134" w:type="dxa"/>
          </w:tcPr>
          <w:p w:rsidR="00A41DF8" w:rsidRPr="00586834" w:rsidRDefault="00A41DF8" w:rsidP="00D91223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586834">
              <w:rPr>
                <w:rFonts w:ascii="Times New Roman" w:hAnsi="Times New Roman" w:cs="Times New Roman"/>
                <w:spacing w:val="-6"/>
              </w:rPr>
              <w:t>0</w:t>
            </w:r>
          </w:p>
        </w:tc>
        <w:tc>
          <w:tcPr>
            <w:tcW w:w="1134" w:type="dxa"/>
          </w:tcPr>
          <w:p w:rsidR="00A41DF8" w:rsidRPr="00586834" w:rsidRDefault="00A41DF8" w:rsidP="00D91223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586834">
              <w:rPr>
                <w:rFonts w:ascii="Times New Roman" w:hAnsi="Times New Roman" w:cs="Times New Roman"/>
                <w:spacing w:val="-6"/>
              </w:rPr>
              <w:t>+1,1%</w:t>
            </w:r>
          </w:p>
        </w:tc>
        <w:tc>
          <w:tcPr>
            <w:tcW w:w="1134" w:type="dxa"/>
          </w:tcPr>
          <w:p w:rsidR="00A41DF8" w:rsidRPr="00586834" w:rsidRDefault="00A41DF8" w:rsidP="00D91223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586834">
              <w:rPr>
                <w:rFonts w:ascii="Times New Roman" w:hAnsi="Times New Roman" w:cs="Times New Roman"/>
                <w:spacing w:val="-6"/>
              </w:rPr>
              <w:t>0</w:t>
            </w:r>
          </w:p>
        </w:tc>
        <w:tc>
          <w:tcPr>
            <w:tcW w:w="1134" w:type="dxa"/>
          </w:tcPr>
          <w:p w:rsidR="00A41DF8" w:rsidRPr="00586834" w:rsidRDefault="00A41DF8" w:rsidP="00D91223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586834">
              <w:rPr>
                <w:rFonts w:ascii="Times New Roman" w:hAnsi="Times New Roman" w:cs="Times New Roman"/>
                <w:spacing w:val="-6"/>
              </w:rPr>
              <w:t>+1,1%</w:t>
            </w:r>
          </w:p>
        </w:tc>
      </w:tr>
      <w:tr w:rsidR="00586834" w:rsidRPr="00586834" w:rsidTr="005E20F8">
        <w:tc>
          <w:tcPr>
            <w:tcW w:w="9498" w:type="dxa"/>
            <w:gridSpan w:val="6"/>
          </w:tcPr>
          <w:p w:rsidR="00A41DF8" w:rsidRPr="00586834" w:rsidRDefault="00A41DF8" w:rsidP="00F95F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6"/>
              </w:rPr>
            </w:pPr>
            <w:r w:rsidRPr="00586834">
              <w:rPr>
                <w:rFonts w:ascii="Times New Roman" w:hAnsi="Times New Roman" w:cs="Times New Roman"/>
                <w:b/>
                <w:spacing w:val="-6"/>
              </w:rPr>
              <w:t>1.3. Тематика «Социальное обеспечение и социальное страхование»</w:t>
            </w:r>
          </w:p>
        </w:tc>
      </w:tr>
      <w:tr w:rsidR="00586834" w:rsidRPr="00586834" w:rsidTr="00D91223">
        <w:tc>
          <w:tcPr>
            <w:tcW w:w="3828" w:type="dxa"/>
          </w:tcPr>
          <w:p w:rsidR="00A41DF8" w:rsidRPr="00586834" w:rsidRDefault="00A41DF8" w:rsidP="00F95FA0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586834">
              <w:rPr>
                <w:rFonts w:ascii="Times New Roman" w:hAnsi="Times New Roman" w:cs="Times New Roman"/>
                <w:spacing w:val="-6"/>
              </w:rPr>
              <w:t>Порядок подтверждения трудового стажа для назначения пенсий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A41DF8" w:rsidRPr="00F95FA0" w:rsidRDefault="00A41DF8" w:rsidP="00D91223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586834">
              <w:rPr>
                <w:rFonts w:ascii="Times New Roman" w:hAnsi="Times New Roman" w:cs="Times New Roman"/>
                <w:spacing w:val="-6"/>
              </w:rPr>
              <w:t>1 (1,1%)</w:t>
            </w:r>
          </w:p>
        </w:tc>
        <w:tc>
          <w:tcPr>
            <w:tcW w:w="1134" w:type="dxa"/>
          </w:tcPr>
          <w:p w:rsidR="00A41DF8" w:rsidRPr="00586834" w:rsidRDefault="00A41DF8" w:rsidP="00D91223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586834">
              <w:rPr>
                <w:rFonts w:ascii="Times New Roman" w:hAnsi="Times New Roman" w:cs="Times New Roman"/>
                <w:spacing w:val="-6"/>
              </w:rPr>
              <w:t>0</w:t>
            </w:r>
          </w:p>
        </w:tc>
        <w:tc>
          <w:tcPr>
            <w:tcW w:w="1134" w:type="dxa"/>
          </w:tcPr>
          <w:p w:rsidR="00A41DF8" w:rsidRPr="00586834" w:rsidRDefault="00A41DF8" w:rsidP="00D91223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586834">
              <w:rPr>
                <w:rFonts w:ascii="Times New Roman" w:hAnsi="Times New Roman" w:cs="Times New Roman"/>
                <w:spacing w:val="-6"/>
              </w:rPr>
              <w:t>+1,1%</w:t>
            </w:r>
          </w:p>
        </w:tc>
        <w:tc>
          <w:tcPr>
            <w:tcW w:w="1134" w:type="dxa"/>
          </w:tcPr>
          <w:p w:rsidR="00A41DF8" w:rsidRPr="00586834" w:rsidRDefault="00A41DF8" w:rsidP="00D91223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586834">
              <w:rPr>
                <w:rFonts w:ascii="Times New Roman" w:hAnsi="Times New Roman" w:cs="Times New Roman"/>
                <w:spacing w:val="-6"/>
              </w:rPr>
              <w:t>0</w:t>
            </w:r>
          </w:p>
        </w:tc>
        <w:tc>
          <w:tcPr>
            <w:tcW w:w="1134" w:type="dxa"/>
          </w:tcPr>
          <w:p w:rsidR="00A41DF8" w:rsidRPr="00586834" w:rsidRDefault="00A41DF8" w:rsidP="00D91223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586834">
              <w:rPr>
                <w:rFonts w:ascii="Times New Roman" w:hAnsi="Times New Roman" w:cs="Times New Roman"/>
                <w:spacing w:val="-6"/>
              </w:rPr>
              <w:t>+1,1%</w:t>
            </w:r>
          </w:p>
        </w:tc>
      </w:tr>
      <w:tr w:rsidR="00586834" w:rsidRPr="00586834" w:rsidTr="00D91223">
        <w:tc>
          <w:tcPr>
            <w:tcW w:w="9498" w:type="dxa"/>
            <w:gridSpan w:val="6"/>
          </w:tcPr>
          <w:p w:rsidR="00A41DF8" w:rsidRPr="00F95FA0" w:rsidRDefault="00A41DF8" w:rsidP="00F95F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6"/>
              </w:rPr>
            </w:pPr>
            <w:r w:rsidRPr="00F95FA0">
              <w:rPr>
                <w:rFonts w:ascii="Times New Roman" w:hAnsi="Times New Roman" w:cs="Times New Roman"/>
                <w:b/>
                <w:spacing w:val="-6"/>
              </w:rPr>
              <w:t>2.Тематический раздел «Оборона, безопасность, законность»</w:t>
            </w:r>
          </w:p>
        </w:tc>
      </w:tr>
      <w:tr w:rsidR="00586834" w:rsidRPr="00586834" w:rsidTr="00D91223">
        <w:tc>
          <w:tcPr>
            <w:tcW w:w="9498" w:type="dxa"/>
            <w:gridSpan w:val="6"/>
          </w:tcPr>
          <w:p w:rsidR="00A41DF8" w:rsidRPr="00F95FA0" w:rsidRDefault="00A41DF8" w:rsidP="00F95F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6"/>
              </w:rPr>
            </w:pPr>
            <w:r w:rsidRPr="00F95FA0">
              <w:rPr>
                <w:rFonts w:ascii="Times New Roman" w:hAnsi="Times New Roman" w:cs="Times New Roman"/>
                <w:b/>
                <w:spacing w:val="-6"/>
              </w:rPr>
              <w:t>2.1.Тематика «</w:t>
            </w:r>
            <w:r w:rsidRPr="00586834">
              <w:rPr>
                <w:rFonts w:ascii="Times New Roman" w:hAnsi="Times New Roman" w:cs="Times New Roman"/>
                <w:b/>
                <w:spacing w:val="-6"/>
              </w:rPr>
              <w:t>Уголовное право. Исполнение наказаний</w:t>
            </w:r>
            <w:r w:rsidRPr="00F95FA0">
              <w:rPr>
                <w:rFonts w:ascii="Times New Roman" w:hAnsi="Times New Roman" w:cs="Times New Roman"/>
                <w:b/>
                <w:spacing w:val="-6"/>
              </w:rPr>
              <w:t>»</w:t>
            </w:r>
          </w:p>
        </w:tc>
      </w:tr>
      <w:tr w:rsidR="00586834" w:rsidRPr="00F95FA0" w:rsidTr="00D91223">
        <w:tc>
          <w:tcPr>
            <w:tcW w:w="3828" w:type="dxa"/>
          </w:tcPr>
          <w:p w:rsidR="00A41DF8" w:rsidRPr="00F95FA0" w:rsidRDefault="00A41DF8" w:rsidP="00F95FA0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586834">
              <w:rPr>
                <w:rFonts w:ascii="Times New Roman" w:hAnsi="Times New Roman" w:cs="Times New Roman"/>
                <w:spacing w:val="-6"/>
              </w:rPr>
              <w:t>Рассмотрение в рамках уголовно-процессуального законодательства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A41DF8" w:rsidRPr="00F95FA0" w:rsidRDefault="00A41DF8" w:rsidP="00F95FA0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586834">
              <w:rPr>
                <w:rFonts w:ascii="Times New Roman" w:hAnsi="Times New Roman" w:cs="Times New Roman"/>
                <w:spacing w:val="-6"/>
              </w:rPr>
              <w:t>5 (5,4%)</w:t>
            </w:r>
          </w:p>
        </w:tc>
        <w:tc>
          <w:tcPr>
            <w:tcW w:w="1134" w:type="dxa"/>
          </w:tcPr>
          <w:p w:rsidR="00A41DF8" w:rsidRPr="00F95FA0" w:rsidRDefault="00A41DF8" w:rsidP="004116EA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F95FA0">
              <w:rPr>
                <w:rFonts w:ascii="Times New Roman" w:hAnsi="Times New Roman" w:cs="Times New Roman"/>
                <w:spacing w:val="-6"/>
              </w:rPr>
              <w:t>1 (3%)</w:t>
            </w:r>
          </w:p>
        </w:tc>
        <w:tc>
          <w:tcPr>
            <w:tcW w:w="1134" w:type="dxa"/>
          </w:tcPr>
          <w:p w:rsidR="00A41DF8" w:rsidRPr="00F95FA0" w:rsidRDefault="00A41DF8" w:rsidP="00F64589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F95FA0">
              <w:rPr>
                <w:rFonts w:ascii="Times New Roman" w:hAnsi="Times New Roman" w:cs="Times New Roman"/>
                <w:spacing w:val="-6"/>
              </w:rPr>
              <w:t>+</w:t>
            </w:r>
            <w:r w:rsidRPr="00586834">
              <w:rPr>
                <w:rFonts w:ascii="Times New Roman" w:hAnsi="Times New Roman" w:cs="Times New Roman"/>
                <w:spacing w:val="-6"/>
              </w:rPr>
              <w:t>2,4</w:t>
            </w:r>
            <w:r w:rsidRPr="00F95FA0">
              <w:rPr>
                <w:rFonts w:ascii="Times New Roman" w:hAnsi="Times New Roman" w:cs="Times New Roman"/>
                <w:spacing w:val="-6"/>
              </w:rPr>
              <w:t>%</w:t>
            </w:r>
          </w:p>
        </w:tc>
        <w:tc>
          <w:tcPr>
            <w:tcW w:w="1134" w:type="dxa"/>
          </w:tcPr>
          <w:p w:rsidR="00A41DF8" w:rsidRPr="00F95FA0" w:rsidRDefault="00A41DF8" w:rsidP="00F95FA0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586834">
              <w:rPr>
                <w:rFonts w:ascii="Times New Roman" w:hAnsi="Times New Roman" w:cs="Times New Roman"/>
                <w:spacing w:val="-6"/>
              </w:rPr>
              <w:t>0</w:t>
            </w:r>
          </w:p>
        </w:tc>
        <w:tc>
          <w:tcPr>
            <w:tcW w:w="1134" w:type="dxa"/>
          </w:tcPr>
          <w:p w:rsidR="00A41DF8" w:rsidRPr="00F95FA0" w:rsidRDefault="00A41DF8" w:rsidP="00A41DF8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F95FA0">
              <w:rPr>
                <w:rFonts w:ascii="Times New Roman" w:hAnsi="Times New Roman" w:cs="Times New Roman"/>
                <w:spacing w:val="-6"/>
              </w:rPr>
              <w:t>+</w:t>
            </w:r>
            <w:r w:rsidRPr="00586834">
              <w:rPr>
                <w:rFonts w:ascii="Times New Roman" w:hAnsi="Times New Roman" w:cs="Times New Roman"/>
                <w:spacing w:val="-6"/>
              </w:rPr>
              <w:t>5,4</w:t>
            </w:r>
            <w:r w:rsidRPr="00F95FA0">
              <w:rPr>
                <w:rFonts w:ascii="Times New Roman" w:hAnsi="Times New Roman" w:cs="Times New Roman"/>
                <w:spacing w:val="-6"/>
              </w:rPr>
              <w:t>%</w:t>
            </w:r>
          </w:p>
        </w:tc>
      </w:tr>
      <w:tr w:rsidR="00586834" w:rsidRPr="00586834" w:rsidTr="0037276F">
        <w:tc>
          <w:tcPr>
            <w:tcW w:w="9498" w:type="dxa"/>
            <w:gridSpan w:val="6"/>
          </w:tcPr>
          <w:p w:rsidR="00A41DF8" w:rsidRPr="00586834" w:rsidRDefault="00A41DF8" w:rsidP="00C10887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586834">
              <w:rPr>
                <w:rFonts w:ascii="Times New Roman" w:hAnsi="Times New Roman" w:cs="Times New Roman"/>
                <w:b/>
                <w:spacing w:val="-6"/>
              </w:rPr>
              <w:t>2.2.Тематика «Безопасность и охрана правопорядка»</w:t>
            </w:r>
          </w:p>
        </w:tc>
      </w:tr>
      <w:tr w:rsidR="00586834" w:rsidRPr="00586834" w:rsidTr="00D91223">
        <w:tc>
          <w:tcPr>
            <w:tcW w:w="3828" w:type="dxa"/>
          </w:tcPr>
          <w:p w:rsidR="00A41DF8" w:rsidRPr="00586834" w:rsidRDefault="00A41DF8" w:rsidP="00F95FA0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586834">
              <w:rPr>
                <w:rFonts w:ascii="Times New Roman" w:hAnsi="Times New Roman" w:cs="Times New Roman"/>
                <w:spacing w:val="-6"/>
              </w:rPr>
              <w:t>Борьба с коррупцией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A41DF8" w:rsidRPr="00F95FA0" w:rsidRDefault="00A41DF8" w:rsidP="00D91223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586834">
              <w:rPr>
                <w:rFonts w:ascii="Times New Roman" w:hAnsi="Times New Roman" w:cs="Times New Roman"/>
                <w:spacing w:val="-6"/>
              </w:rPr>
              <w:t>3 (3,2%)</w:t>
            </w:r>
          </w:p>
        </w:tc>
        <w:tc>
          <w:tcPr>
            <w:tcW w:w="1134" w:type="dxa"/>
          </w:tcPr>
          <w:p w:rsidR="00A41DF8" w:rsidRPr="00586834" w:rsidRDefault="00A41DF8" w:rsidP="004116EA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586834">
              <w:rPr>
                <w:rFonts w:ascii="Times New Roman" w:hAnsi="Times New Roman" w:cs="Times New Roman"/>
                <w:spacing w:val="-6"/>
              </w:rPr>
              <w:t>0</w:t>
            </w:r>
          </w:p>
        </w:tc>
        <w:tc>
          <w:tcPr>
            <w:tcW w:w="1134" w:type="dxa"/>
          </w:tcPr>
          <w:p w:rsidR="00A41DF8" w:rsidRPr="00586834" w:rsidRDefault="00A41DF8" w:rsidP="00F95FA0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586834">
              <w:rPr>
                <w:rFonts w:ascii="Times New Roman" w:hAnsi="Times New Roman" w:cs="Times New Roman"/>
                <w:spacing w:val="-6"/>
              </w:rPr>
              <w:t>+3,2%</w:t>
            </w:r>
          </w:p>
        </w:tc>
        <w:tc>
          <w:tcPr>
            <w:tcW w:w="1134" w:type="dxa"/>
          </w:tcPr>
          <w:p w:rsidR="00A41DF8" w:rsidRPr="00586834" w:rsidRDefault="00A41DF8" w:rsidP="00D91223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586834">
              <w:rPr>
                <w:rFonts w:ascii="Times New Roman" w:hAnsi="Times New Roman" w:cs="Times New Roman"/>
                <w:spacing w:val="-6"/>
              </w:rPr>
              <w:t>0</w:t>
            </w:r>
          </w:p>
        </w:tc>
        <w:tc>
          <w:tcPr>
            <w:tcW w:w="1134" w:type="dxa"/>
          </w:tcPr>
          <w:p w:rsidR="00A41DF8" w:rsidRPr="00586834" w:rsidRDefault="00A41DF8" w:rsidP="00D91223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586834">
              <w:rPr>
                <w:rFonts w:ascii="Times New Roman" w:hAnsi="Times New Roman" w:cs="Times New Roman"/>
                <w:spacing w:val="-6"/>
              </w:rPr>
              <w:t>+3,2%</w:t>
            </w:r>
          </w:p>
        </w:tc>
      </w:tr>
      <w:tr w:rsidR="00586834" w:rsidRPr="00586834" w:rsidTr="00D91223">
        <w:tc>
          <w:tcPr>
            <w:tcW w:w="9498" w:type="dxa"/>
            <w:gridSpan w:val="6"/>
          </w:tcPr>
          <w:p w:rsidR="00A41DF8" w:rsidRPr="00F95FA0" w:rsidRDefault="00A41DF8" w:rsidP="00F95F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6"/>
              </w:rPr>
            </w:pPr>
            <w:r w:rsidRPr="00F95FA0">
              <w:rPr>
                <w:rFonts w:ascii="Times New Roman" w:hAnsi="Times New Roman" w:cs="Times New Roman"/>
                <w:b/>
                <w:spacing w:val="-6"/>
              </w:rPr>
              <w:t>3. Тематический раздел «Экономика»</w:t>
            </w:r>
          </w:p>
        </w:tc>
      </w:tr>
      <w:tr w:rsidR="00586834" w:rsidRPr="00586834" w:rsidTr="00D91223">
        <w:tc>
          <w:tcPr>
            <w:tcW w:w="9498" w:type="dxa"/>
            <w:gridSpan w:val="6"/>
          </w:tcPr>
          <w:p w:rsidR="00A41DF8" w:rsidRPr="00F95FA0" w:rsidRDefault="00A41DF8" w:rsidP="00F95F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6"/>
              </w:rPr>
            </w:pPr>
            <w:r w:rsidRPr="00F95FA0">
              <w:rPr>
                <w:rFonts w:ascii="Times New Roman" w:hAnsi="Times New Roman" w:cs="Times New Roman"/>
                <w:b/>
                <w:spacing w:val="-6"/>
              </w:rPr>
              <w:t>3.1. Тематика «Хозяйственная деятельность»</w:t>
            </w:r>
          </w:p>
        </w:tc>
      </w:tr>
      <w:tr w:rsidR="00586834" w:rsidRPr="00586834" w:rsidTr="00D91223">
        <w:tc>
          <w:tcPr>
            <w:tcW w:w="3828" w:type="dxa"/>
          </w:tcPr>
          <w:p w:rsidR="00A41DF8" w:rsidRPr="00586834" w:rsidRDefault="00A41DF8" w:rsidP="00F95FA0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586834">
              <w:rPr>
                <w:rFonts w:ascii="Times New Roman" w:hAnsi="Times New Roman" w:cs="Times New Roman"/>
                <w:spacing w:val="-6"/>
              </w:rPr>
              <w:t>Дорожные знаки и дорожная разметка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A41DF8" w:rsidRPr="00F95FA0" w:rsidRDefault="00A41DF8" w:rsidP="00D91223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586834">
              <w:rPr>
                <w:rFonts w:ascii="Times New Roman" w:hAnsi="Times New Roman" w:cs="Times New Roman"/>
                <w:spacing w:val="-6"/>
              </w:rPr>
              <w:t>2 (2,2%)</w:t>
            </w:r>
          </w:p>
        </w:tc>
        <w:tc>
          <w:tcPr>
            <w:tcW w:w="1134" w:type="dxa"/>
          </w:tcPr>
          <w:p w:rsidR="00A41DF8" w:rsidRPr="00586834" w:rsidRDefault="00A41DF8" w:rsidP="00E75CCC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586834">
              <w:rPr>
                <w:rFonts w:ascii="Times New Roman" w:hAnsi="Times New Roman" w:cs="Times New Roman"/>
                <w:spacing w:val="-6"/>
              </w:rPr>
              <w:t>0</w:t>
            </w:r>
          </w:p>
        </w:tc>
        <w:tc>
          <w:tcPr>
            <w:tcW w:w="1134" w:type="dxa"/>
          </w:tcPr>
          <w:p w:rsidR="00A41DF8" w:rsidRPr="00586834" w:rsidRDefault="00A41DF8" w:rsidP="00F95F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86834">
              <w:rPr>
                <w:rFonts w:ascii="Times New Roman" w:eastAsia="Times New Roman" w:hAnsi="Times New Roman" w:cs="Times New Roman"/>
                <w:lang w:eastAsia="ru-RU"/>
              </w:rPr>
              <w:t>+2,2%</w:t>
            </w:r>
          </w:p>
        </w:tc>
        <w:tc>
          <w:tcPr>
            <w:tcW w:w="1134" w:type="dxa"/>
          </w:tcPr>
          <w:p w:rsidR="00A41DF8" w:rsidRPr="00586834" w:rsidRDefault="00A41DF8" w:rsidP="00D91223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586834">
              <w:rPr>
                <w:rFonts w:ascii="Times New Roman" w:hAnsi="Times New Roman" w:cs="Times New Roman"/>
                <w:spacing w:val="-6"/>
              </w:rPr>
              <w:t>0</w:t>
            </w:r>
          </w:p>
        </w:tc>
        <w:tc>
          <w:tcPr>
            <w:tcW w:w="1134" w:type="dxa"/>
          </w:tcPr>
          <w:p w:rsidR="00A41DF8" w:rsidRPr="00586834" w:rsidRDefault="00A41DF8" w:rsidP="00D912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86834">
              <w:rPr>
                <w:rFonts w:ascii="Times New Roman" w:eastAsia="Times New Roman" w:hAnsi="Times New Roman" w:cs="Times New Roman"/>
                <w:lang w:eastAsia="ru-RU"/>
              </w:rPr>
              <w:t>+2,2%</w:t>
            </w:r>
          </w:p>
        </w:tc>
      </w:tr>
      <w:tr w:rsidR="00586834" w:rsidRPr="00586834" w:rsidTr="00D91223">
        <w:tc>
          <w:tcPr>
            <w:tcW w:w="9498" w:type="dxa"/>
            <w:gridSpan w:val="6"/>
          </w:tcPr>
          <w:p w:rsidR="00A41DF8" w:rsidRPr="00F95FA0" w:rsidRDefault="00A41DF8" w:rsidP="00F95F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6"/>
              </w:rPr>
            </w:pPr>
            <w:r w:rsidRPr="00586834">
              <w:rPr>
                <w:rFonts w:ascii="Times New Roman" w:hAnsi="Times New Roman" w:cs="Times New Roman"/>
                <w:b/>
                <w:spacing w:val="-6"/>
              </w:rPr>
              <w:t>4</w:t>
            </w:r>
            <w:r w:rsidRPr="00F95FA0">
              <w:rPr>
                <w:rFonts w:ascii="Times New Roman" w:hAnsi="Times New Roman" w:cs="Times New Roman"/>
                <w:b/>
                <w:spacing w:val="-6"/>
              </w:rPr>
              <w:t>.Тематический раздел «Государство, общество, политика»</w:t>
            </w:r>
          </w:p>
        </w:tc>
      </w:tr>
      <w:tr w:rsidR="00586834" w:rsidRPr="00586834" w:rsidTr="00D91223">
        <w:tc>
          <w:tcPr>
            <w:tcW w:w="9498" w:type="dxa"/>
            <w:gridSpan w:val="6"/>
          </w:tcPr>
          <w:p w:rsidR="00A41DF8" w:rsidRPr="00F95FA0" w:rsidRDefault="00A41DF8" w:rsidP="00F95F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6"/>
              </w:rPr>
            </w:pPr>
            <w:r w:rsidRPr="00586834">
              <w:rPr>
                <w:rFonts w:ascii="Times New Roman" w:hAnsi="Times New Roman" w:cs="Times New Roman"/>
                <w:b/>
              </w:rPr>
              <w:t>4</w:t>
            </w:r>
            <w:r w:rsidRPr="00F95FA0">
              <w:rPr>
                <w:rFonts w:ascii="Times New Roman" w:hAnsi="Times New Roman" w:cs="Times New Roman"/>
                <w:b/>
              </w:rPr>
              <w:t>.1.Тематика «Основы государственного управления»</w:t>
            </w:r>
          </w:p>
        </w:tc>
      </w:tr>
      <w:tr w:rsidR="00586834" w:rsidRPr="00586834" w:rsidTr="00D91223">
        <w:tc>
          <w:tcPr>
            <w:tcW w:w="3828" w:type="dxa"/>
          </w:tcPr>
          <w:p w:rsidR="00A41DF8" w:rsidRPr="00F95FA0" w:rsidRDefault="00A41DF8" w:rsidP="00F95FA0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F95FA0">
              <w:rPr>
                <w:rFonts w:ascii="Times New Roman" w:hAnsi="Times New Roman" w:cs="Times New Roman"/>
                <w:spacing w:val="-6"/>
              </w:rPr>
              <w:t>Лицензирование. Деятельность по оформлению лицензии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A41DF8" w:rsidRPr="00F95FA0" w:rsidRDefault="00A41DF8" w:rsidP="00D91223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586834">
              <w:rPr>
                <w:rFonts w:ascii="Times New Roman" w:hAnsi="Times New Roman" w:cs="Times New Roman"/>
                <w:spacing w:val="-6"/>
              </w:rPr>
              <w:t>2 (2,2%)</w:t>
            </w:r>
          </w:p>
        </w:tc>
        <w:tc>
          <w:tcPr>
            <w:tcW w:w="1134" w:type="dxa"/>
          </w:tcPr>
          <w:p w:rsidR="00A41DF8" w:rsidRPr="00F95FA0" w:rsidRDefault="00A41DF8" w:rsidP="009D52CE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F95FA0">
              <w:rPr>
                <w:rFonts w:ascii="Times New Roman" w:hAnsi="Times New Roman" w:cs="Times New Roman"/>
                <w:spacing w:val="-6"/>
              </w:rPr>
              <w:t>2 (6%)</w:t>
            </w:r>
          </w:p>
        </w:tc>
        <w:tc>
          <w:tcPr>
            <w:tcW w:w="1134" w:type="dxa"/>
          </w:tcPr>
          <w:p w:rsidR="00A41DF8" w:rsidRPr="00F95FA0" w:rsidRDefault="00A41DF8" w:rsidP="00F95F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86834">
              <w:rPr>
                <w:rFonts w:ascii="Times New Roman" w:eastAsia="Times New Roman" w:hAnsi="Times New Roman" w:cs="Times New Roman"/>
                <w:lang w:eastAsia="ru-RU"/>
              </w:rPr>
              <w:t>-3,8</w:t>
            </w:r>
            <w:r w:rsidRPr="00F95FA0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34" w:type="dxa"/>
          </w:tcPr>
          <w:p w:rsidR="00A41DF8" w:rsidRPr="00F95FA0" w:rsidRDefault="00A41DF8" w:rsidP="00F95FA0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586834">
              <w:rPr>
                <w:rFonts w:ascii="Times New Roman" w:hAnsi="Times New Roman" w:cs="Times New Roman"/>
                <w:spacing w:val="-6"/>
              </w:rPr>
              <w:t>1 (2,2%)</w:t>
            </w:r>
          </w:p>
        </w:tc>
        <w:tc>
          <w:tcPr>
            <w:tcW w:w="1134" w:type="dxa"/>
          </w:tcPr>
          <w:p w:rsidR="00A41DF8" w:rsidRPr="00F95FA0" w:rsidRDefault="00A41DF8" w:rsidP="00F95FA0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586834">
              <w:rPr>
                <w:rFonts w:ascii="Times New Roman" w:hAnsi="Times New Roman" w:cs="Times New Roman"/>
                <w:spacing w:val="-6"/>
              </w:rPr>
              <w:t>0</w:t>
            </w:r>
          </w:p>
        </w:tc>
      </w:tr>
      <w:tr w:rsidR="00586834" w:rsidRPr="00586834" w:rsidTr="00D91223">
        <w:tc>
          <w:tcPr>
            <w:tcW w:w="3828" w:type="dxa"/>
          </w:tcPr>
          <w:p w:rsidR="00A41DF8" w:rsidRPr="00586834" w:rsidRDefault="00A41DF8" w:rsidP="00F95FA0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586834">
              <w:rPr>
                <w:rFonts w:ascii="Times New Roman" w:hAnsi="Times New Roman" w:cs="Times New Roman"/>
                <w:spacing w:val="-6"/>
              </w:rPr>
              <w:t>Прекращение рассмотрения обращения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A41DF8" w:rsidRPr="00F95FA0" w:rsidRDefault="00A41DF8" w:rsidP="00D91223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586834">
              <w:rPr>
                <w:rFonts w:ascii="Times New Roman" w:hAnsi="Times New Roman" w:cs="Times New Roman"/>
                <w:spacing w:val="-6"/>
              </w:rPr>
              <w:t>2 (2,2%)</w:t>
            </w:r>
          </w:p>
        </w:tc>
        <w:tc>
          <w:tcPr>
            <w:tcW w:w="1134" w:type="dxa"/>
          </w:tcPr>
          <w:p w:rsidR="00A41DF8" w:rsidRPr="00586834" w:rsidRDefault="00A41DF8" w:rsidP="00D91223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586834">
              <w:rPr>
                <w:rFonts w:ascii="Times New Roman" w:hAnsi="Times New Roman" w:cs="Times New Roman"/>
                <w:spacing w:val="-6"/>
              </w:rPr>
              <w:t>0</w:t>
            </w:r>
          </w:p>
        </w:tc>
        <w:tc>
          <w:tcPr>
            <w:tcW w:w="1134" w:type="dxa"/>
          </w:tcPr>
          <w:p w:rsidR="00A41DF8" w:rsidRPr="00586834" w:rsidRDefault="00A41DF8" w:rsidP="00D912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86834">
              <w:rPr>
                <w:rFonts w:ascii="Times New Roman" w:eastAsia="Times New Roman" w:hAnsi="Times New Roman" w:cs="Times New Roman"/>
                <w:lang w:eastAsia="ru-RU"/>
              </w:rPr>
              <w:t>+2,2%</w:t>
            </w:r>
          </w:p>
        </w:tc>
        <w:tc>
          <w:tcPr>
            <w:tcW w:w="1134" w:type="dxa"/>
          </w:tcPr>
          <w:p w:rsidR="00A41DF8" w:rsidRPr="00586834" w:rsidRDefault="00A41DF8" w:rsidP="00D91223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586834">
              <w:rPr>
                <w:rFonts w:ascii="Times New Roman" w:hAnsi="Times New Roman" w:cs="Times New Roman"/>
                <w:spacing w:val="-6"/>
              </w:rPr>
              <w:t>0</w:t>
            </w:r>
          </w:p>
        </w:tc>
        <w:tc>
          <w:tcPr>
            <w:tcW w:w="1134" w:type="dxa"/>
          </w:tcPr>
          <w:p w:rsidR="00A41DF8" w:rsidRPr="00586834" w:rsidRDefault="00A41DF8" w:rsidP="00D912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86834">
              <w:rPr>
                <w:rFonts w:ascii="Times New Roman" w:eastAsia="Times New Roman" w:hAnsi="Times New Roman" w:cs="Times New Roman"/>
                <w:lang w:eastAsia="ru-RU"/>
              </w:rPr>
              <w:t>+2,2%</w:t>
            </w:r>
          </w:p>
        </w:tc>
      </w:tr>
    </w:tbl>
    <w:p w:rsidR="00F95FA0" w:rsidRDefault="00F95F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pacing w:val="-6"/>
          <w:sz w:val="24"/>
          <w:szCs w:val="24"/>
          <w:lang w:eastAsia="ru-RU"/>
        </w:rPr>
      </w:pPr>
    </w:p>
    <w:p w:rsidR="00003811" w:rsidRDefault="00957ACA" w:rsidP="00F50E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DE3D43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Наибольший интерес у граждан</w:t>
      </w:r>
      <w:r w:rsidR="00586834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, в том числе в сравнении со 2 кварталом 2018 года,</w:t>
      </w:r>
      <w:r w:rsidRPr="00DE3D43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 xml:space="preserve"> выз</w:t>
      </w: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вал вопрос</w:t>
      </w:r>
      <w:r w:rsidR="00F50EA2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«</w:t>
      </w:r>
      <w:r w:rsidR="00F50EA2" w:rsidRPr="00F50EA2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Контроль качества и надзор в сфере образования</w:t>
      </w:r>
      <w:r w:rsidR="00F50EA2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» (</w:t>
      </w:r>
      <w:r w:rsidR="00A41DF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42</w:t>
      </w:r>
      <w:r w:rsidR="00F50EA2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%</w:t>
      </w:r>
      <w:r w:rsidR="00A41DF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от общего количества вопросов)</w:t>
      </w:r>
      <w:r w:rsidR="00586834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. Активность граждан связана с ситуацией в отношении </w:t>
      </w:r>
      <w:r w:rsidR="00586834" w:rsidRPr="00586834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Сургутско</w:t>
      </w:r>
      <w:r w:rsidR="00586834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го</w:t>
      </w:r>
      <w:r w:rsidR="00586834" w:rsidRPr="00586834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филиал</w:t>
      </w:r>
      <w:r w:rsidR="00586834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а</w:t>
      </w:r>
      <w:r w:rsidR="00586834" w:rsidRPr="00586834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Московского колледжа №177</w:t>
      </w:r>
      <w:r w:rsidR="00586834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, осуществлявшего образовательную деятельность при отсутствии лицензии</w:t>
      </w:r>
      <w:r w:rsidR="00586834" w:rsidRPr="00586834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(35 обращений по одному вопросу)</w:t>
      </w:r>
      <w:r w:rsidR="00F50EA2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.</w:t>
      </w:r>
      <w:r w:rsidR="00586834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Материалы обращений направлены Обрнадзором Югры в правоохранительные органы для рассмотрения в рамках уголовного дела.</w:t>
      </w:r>
    </w:p>
    <w:p w:rsidR="00F50EA2" w:rsidRDefault="00EE7AD8" w:rsidP="00F50E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</w:pPr>
      <w:r w:rsidRPr="00EE7AD8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 xml:space="preserve">Анализ динамики доли </w:t>
      </w: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вопросов от общего количества</w:t>
      </w:r>
      <w:r w:rsidRPr="00EE7AD8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, поступивших на рассмотрение в Обрнадзор Югры в</w:t>
      </w: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о 2 квартале 2019 года</w:t>
      </w:r>
      <w:r w:rsidRPr="00EE7AD8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 xml:space="preserve"> в сравнении </w:t>
      </w:r>
      <w:r w:rsidR="00A41DF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1 кварталом 2019 года</w:t>
      </w:r>
      <w:r w:rsidRPr="00EE7AD8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, не показал знач</w:t>
      </w:r>
      <w:r w:rsidR="00586834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ительных (более 10%) отклонений.</w:t>
      </w:r>
      <w:r w:rsidRPr="00EE7AD8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 xml:space="preserve"> </w:t>
      </w:r>
    </w:p>
    <w:p w:rsidR="0022571D" w:rsidRDefault="002257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</w:pPr>
    </w:p>
    <w:p w:rsidR="0022571D" w:rsidRDefault="001856F5" w:rsidP="001856F5">
      <w:pPr>
        <w:pStyle w:val="ConsPlusTitle"/>
        <w:ind w:left="644"/>
        <w:jc w:val="both"/>
        <w:rPr>
          <w:color w:val="0D0D0D" w:themeColor="text1" w:themeTint="F2"/>
          <w:spacing w:val="-6"/>
          <w:szCs w:val="26"/>
        </w:rPr>
      </w:pPr>
      <w:r>
        <w:rPr>
          <w:color w:val="0D0D0D" w:themeColor="text1" w:themeTint="F2"/>
          <w:spacing w:val="-6"/>
          <w:szCs w:val="26"/>
        </w:rPr>
        <w:t>14.</w:t>
      </w:r>
      <w:r w:rsidR="00733AAA">
        <w:rPr>
          <w:color w:val="0D0D0D" w:themeColor="text1" w:themeTint="F2"/>
          <w:spacing w:val="-6"/>
          <w:szCs w:val="26"/>
        </w:rPr>
        <w:t xml:space="preserve"> Результаты рассмотрения вопросов, содержащихся в обращениях</w:t>
      </w:r>
    </w:p>
    <w:p w:rsidR="0022571D" w:rsidRDefault="0022571D">
      <w:pPr>
        <w:pStyle w:val="af3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</w:pPr>
    </w:p>
    <w:p w:rsidR="0022571D" w:rsidRDefault="00733AAA">
      <w:pPr>
        <w:pStyle w:val="af3"/>
        <w:spacing w:after="0" w:line="240" w:lineRule="auto"/>
        <w:ind w:left="0" w:firstLine="720"/>
        <w:jc w:val="both"/>
      </w:pPr>
      <w:r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>За отчётный перио</w:t>
      </w:r>
      <w:r w:rsidR="00EE7AD8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>д Обрнадзором Югры рассмотрено 5</w:t>
      </w:r>
      <w:r w:rsidR="00892B81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>9 обращений (</w:t>
      </w:r>
      <w:r w:rsidR="00CC2A8B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>70</w:t>
      </w:r>
      <w:r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 xml:space="preserve"> вопросов). 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Все обращения рассмотрены Службой своевременно, без нарушения установленного законодательством срока. </w:t>
      </w:r>
    </w:p>
    <w:p w:rsidR="0022571D" w:rsidRDefault="00733AAA">
      <w:pPr>
        <w:pStyle w:val="af3"/>
        <w:spacing w:after="0" w:line="240" w:lineRule="auto"/>
        <w:ind w:left="0" w:firstLine="720"/>
        <w:jc w:val="both"/>
      </w:pPr>
      <w:r>
        <w:rPr>
          <w:rFonts w:ascii="Times New Roman" w:hAnsi="Times New Roman" w:cs="Times New Roman"/>
          <w:spacing w:val="-6"/>
          <w:sz w:val="28"/>
          <w:szCs w:val="28"/>
        </w:rPr>
        <w:t>Результаты рассмотрения обращений представлены в таблице 4.</w:t>
      </w:r>
    </w:p>
    <w:p w:rsidR="0022571D" w:rsidRDefault="0022571D">
      <w:pPr>
        <w:pStyle w:val="af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</w:pPr>
    </w:p>
    <w:p w:rsidR="0022571D" w:rsidRDefault="00733AAA">
      <w:pPr>
        <w:spacing w:after="0" w:line="240" w:lineRule="auto"/>
        <w:ind w:firstLine="709"/>
        <w:jc w:val="right"/>
      </w:pP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4"/>
          <w:szCs w:val="24"/>
          <w:lang w:eastAsia="ru-RU"/>
        </w:rPr>
        <w:t>Таблица 4</w:t>
      </w:r>
    </w:p>
    <w:p w:rsidR="0022571D" w:rsidRDefault="00733AAA">
      <w:pPr>
        <w:spacing w:after="0" w:line="240" w:lineRule="auto"/>
        <w:ind w:firstLine="720"/>
        <w:jc w:val="center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4"/>
          <w:szCs w:val="24"/>
          <w:lang w:eastAsia="ru-RU"/>
        </w:rPr>
        <w:t>Результаты рассмотрения обращений во 2 квартале 2019 года</w:t>
      </w:r>
    </w:p>
    <w:p w:rsidR="0022571D" w:rsidRDefault="0022571D">
      <w:pPr>
        <w:spacing w:after="0" w:line="240" w:lineRule="auto"/>
        <w:ind w:firstLine="720"/>
        <w:jc w:val="center"/>
        <w:rPr>
          <w:rFonts w:eastAsia="Times New Roman"/>
          <w:color w:val="0D0D0D" w:themeColor="text1" w:themeTint="F2"/>
          <w:sz w:val="24"/>
          <w:szCs w:val="24"/>
          <w:lang w:eastAsia="ru-RU"/>
        </w:rPr>
      </w:pPr>
    </w:p>
    <w:tbl>
      <w:tblPr>
        <w:tblStyle w:val="af8"/>
        <w:tblW w:w="9188" w:type="dxa"/>
        <w:jc w:val="center"/>
        <w:tblLook w:val="04A0" w:firstRow="1" w:lastRow="0" w:firstColumn="1" w:lastColumn="0" w:noHBand="0" w:noVBand="1"/>
      </w:tblPr>
      <w:tblGrid>
        <w:gridCol w:w="2675"/>
        <w:gridCol w:w="1694"/>
        <w:gridCol w:w="1522"/>
        <w:gridCol w:w="1802"/>
        <w:gridCol w:w="1495"/>
      </w:tblGrid>
      <w:tr w:rsidR="00B83336" w:rsidTr="00E54CF9">
        <w:trPr>
          <w:jc w:val="center"/>
        </w:trPr>
        <w:tc>
          <w:tcPr>
            <w:tcW w:w="2675" w:type="dxa"/>
            <w:shd w:val="clear" w:color="auto" w:fill="auto"/>
          </w:tcPr>
          <w:p w:rsidR="00B83336" w:rsidRDefault="00B83336" w:rsidP="00B83336">
            <w:pPr>
              <w:pStyle w:val="af3"/>
              <w:spacing w:after="0" w:line="240" w:lineRule="auto"/>
              <w:ind w:left="112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Результат рассмотрения </w:t>
            </w:r>
          </w:p>
        </w:tc>
        <w:tc>
          <w:tcPr>
            <w:tcW w:w="1694" w:type="dxa"/>
            <w:tcBorders>
              <w:right w:val="nil"/>
            </w:tcBorders>
            <w:shd w:val="clear" w:color="auto" w:fill="auto"/>
          </w:tcPr>
          <w:p w:rsidR="00B83336" w:rsidRDefault="00B83336" w:rsidP="00B83336">
            <w:pPr>
              <w:pStyle w:val="af3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2 кв.2019 г.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</w:r>
            <w:r w:rsidRPr="00B8333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(кол-во вопросов)</w:t>
            </w:r>
          </w:p>
        </w:tc>
        <w:tc>
          <w:tcPr>
            <w:tcW w:w="1522" w:type="dxa"/>
            <w:shd w:val="clear" w:color="auto" w:fill="auto"/>
          </w:tcPr>
          <w:p w:rsidR="00B83336" w:rsidRDefault="00B83336" w:rsidP="00B83336">
            <w:pPr>
              <w:pStyle w:val="af3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 кв.2019 г.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</w:r>
            <w:r w:rsidRPr="00B8333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(доля %)</w:t>
            </w:r>
          </w:p>
        </w:tc>
        <w:tc>
          <w:tcPr>
            <w:tcW w:w="1802" w:type="dxa"/>
            <w:tcBorders>
              <w:right w:val="nil"/>
            </w:tcBorders>
            <w:shd w:val="clear" w:color="auto" w:fill="auto"/>
          </w:tcPr>
          <w:p w:rsidR="00B83336" w:rsidRDefault="00B83336" w:rsidP="00B83336">
            <w:pPr>
              <w:pStyle w:val="af3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2 кв.2018 г.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</w:r>
            <w:r w:rsidRPr="00B8333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(кол-во вопросов)</w:t>
            </w:r>
          </w:p>
        </w:tc>
        <w:tc>
          <w:tcPr>
            <w:tcW w:w="1495" w:type="dxa"/>
            <w:shd w:val="clear" w:color="auto" w:fill="auto"/>
          </w:tcPr>
          <w:p w:rsidR="00B83336" w:rsidRDefault="00B83336" w:rsidP="00B83336">
            <w:pPr>
              <w:pStyle w:val="af3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 кв.2018 г.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</w:r>
            <w:r w:rsidRPr="00B8333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(доля %)</w:t>
            </w:r>
          </w:p>
        </w:tc>
      </w:tr>
      <w:tr w:rsidR="00B83336" w:rsidTr="00E54CF9">
        <w:trPr>
          <w:jc w:val="center"/>
        </w:trPr>
        <w:tc>
          <w:tcPr>
            <w:tcW w:w="2675" w:type="dxa"/>
            <w:shd w:val="clear" w:color="auto" w:fill="auto"/>
          </w:tcPr>
          <w:p w:rsidR="00B83336" w:rsidRDefault="00B83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Поддержано</w:t>
            </w:r>
          </w:p>
        </w:tc>
        <w:tc>
          <w:tcPr>
            <w:tcW w:w="1694" w:type="dxa"/>
            <w:tcBorders>
              <w:right w:val="nil"/>
            </w:tcBorders>
            <w:shd w:val="clear" w:color="auto" w:fill="auto"/>
          </w:tcPr>
          <w:p w:rsidR="00B83336" w:rsidRDefault="00B83336">
            <w:pPr>
              <w:pStyle w:val="af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22" w:type="dxa"/>
            <w:shd w:val="clear" w:color="auto" w:fill="auto"/>
          </w:tcPr>
          <w:p w:rsidR="00B83336" w:rsidRDefault="00E54CF9">
            <w:pPr>
              <w:pStyle w:val="af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5,7</w:t>
            </w:r>
            <w:r w:rsidR="00892B81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802" w:type="dxa"/>
          </w:tcPr>
          <w:p w:rsidR="00B83336" w:rsidRDefault="00CC2A8B">
            <w:pPr>
              <w:pStyle w:val="af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5" w:type="dxa"/>
          </w:tcPr>
          <w:p w:rsidR="00B83336" w:rsidRDefault="00CC2A8B">
            <w:pPr>
              <w:pStyle w:val="af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B83336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B83336" w:rsidTr="00E54CF9">
        <w:trPr>
          <w:jc w:val="center"/>
        </w:trPr>
        <w:tc>
          <w:tcPr>
            <w:tcW w:w="2675" w:type="dxa"/>
            <w:shd w:val="clear" w:color="auto" w:fill="auto"/>
          </w:tcPr>
          <w:p w:rsidR="00B83336" w:rsidRDefault="00B83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поддержано</w:t>
            </w:r>
          </w:p>
        </w:tc>
        <w:tc>
          <w:tcPr>
            <w:tcW w:w="1694" w:type="dxa"/>
            <w:tcBorders>
              <w:right w:val="nil"/>
            </w:tcBorders>
            <w:shd w:val="clear" w:color="auto" w:fill="auto"/>
          </w:tcPr>
          <w:p w:rsidR="00B83336" w:rsidRDefault="00B83336">
            <w:pPr>
              <w:pStyle w:val="af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B83336" w:rsidRDefault="00892B81">
            <w:pPr>
              <w:pStyle w:val="af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1,4%</w:t>
            </w:r>
          </w:p>
        </w:tc>
        <w:tc>
          <w:tcPr>
            <w:tcW w:w="1802" w:type="dxa"/>
          </w:tcPr>
          <w:p w:rsidR="00B83336" w:rsidRDefault="00B83336">
            <w:pPr>
              <w:pStyle w:val="af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95" w:type="dxa"/>
          </w:tcPr>
          <w:p w:rsidR="00B83336" w:rsidRDefault="00B83336">
            <w:pPr>
              <w:pStyle w:val="af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0%</w:t>
            </w:r>
          </w:p>
        </w:tc>
      </w:tr>
      <w:tr w:rsidR="00B83336" w:rsidTr="009B1622">
        <w:trPr>
          <w:jc w:val="center"/>
        </w:trPr>
        <w:tc>
          <w:tcPr>
            <w:tcW w:w="2675" w:type="dxa"/>
            <w:tcBorders>
              <w:bottom w:val="single" w:sz="4" w:space="0" w:color="auto"/>
            </w:tcBorders>
            <w:shd w:val="clear" w:color="auto" w:fill="auto"/>
          </w:tcPr>
          <w:p w:rsidR="00B83336" w:rsidRDefault="00B83336">
            <w:pPr>
              <w:pStyle w:val="af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Разъяснено</w:t>
            </w:r>
          </w:p>
        </w:tc>
        <w:tc>
          <w:tcPr>
            <w:tcW w:w="1694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B83336" w:rsidRDefault="00B83336">
            <w:pPr>
              <w:pStyle w:val="af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522" w:type="dxa"/>
            <w:tcBorders>
              <w:bottom w:val="single" w:sz="4" w:space="0" w:color="auto"/>
            </w:tcBorders>
            <w:shd w:val="clear" w:color="auto" w:fill="auto"/>
          </w:tcPr>
          <w:p w:rsidR="00B83336" w:rsidRDefault="00E54CF9">
            <w:pPr>
              <w:pStyle w:val="af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87,2</w:t>
            </w:r>
            <w:r w:rsidR="00892B81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802" w:type="dxa"/>
            <w:tcBorders>
              <w:bottom w:val="single" w:sz="4" w:space="0" w:color="auto"/>
            </w:tcBorders>
          </w:tcPr>
          <w:p w:rsidR="00B83336" w:rsidRDefault="00CC2A8B">
            <w:pPr>
              <w:pStyle w:val="af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495" w:type="dxa"/>
            <w:tcBorders>
              <w:bottom w:val="single" w:sz="4" w:space="0" w:color="auto"/>
            </w:tcBorders>
          </w:tcPr>
          <w:p w:rsidR="00B83336" w:rsidRDefault="00CC2A8B">
            <w:pPr>
              <w:pStyle w:val="af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  <w:r w:rsidR="00B83336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B83336" w:rsidTr="009B1622">
        <w:trPr>
          <w:jc w:val="center"/>
        </w:trPr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336" w:rsidRDefault="00B83336">
            <w:pPr>
              <w:pStyle w:val="af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Оставлено без ответа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автору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336" w:rsidRDefault="00892B81">
            <w:pPr>
              <w:pStyle w:val="af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336" w:rsidRDefault="00E54CF9">
            <w:pPr>
              <w:pStyle w:val="af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5,7</w:t>
            </w:r>
            <w:r w:rsidR="00892B81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336" w:rsidRDefault="00CC2A8B">
            <w:pPr>
              <w:pStyle w:val="af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336" w:rsidRDefault="00CC2A8B">
            <w:pPr>
              <w:pStyle w:val="af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B83336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B83336" w:rsidTr="009B1622">
        <w:trPr>
          <w:jc w:val="center"/>
        </w:trPr>
        <w:tc>
          <w:tcPr>
            <w:tcW w:w="2675" w:type="dxa"/>
            <w:tcBorders>
              <w:top w:val="single" w:sz="4" w:space="0" w:color="auto"/>
            </w:tcBorders>
            <w:shd w:val="clear" w:color="auto" w:fill="auto"/>
          </w:tcPr>
          <w:p w:rsidR="00B83336" w:rsidRDefault="00B83336">
            <w:pPr>
              <w:pStyle w:val="af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1694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:rsidR="00B83336" w:rsidRDefault="00E54CF9">
            <w:pPr>
              <w:pStyle w:val="af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522" w:type="dxa"/>
            <w:tcBorders>
              <w:top w:val="single" w:sz="4" w:space="0" w:color="auto"/>
            </w:tcBorders>
            <w:shd w:val="clear" w:color="auto" w:fill="auto"/>
          </w:tcPr>
          <w:p w:rsidR="00B83336" w:rsidRDefault="00E54CF9">
            <w:pPr>
              <w:pStyle w:val="af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1802" w:type="dxa"/>
            <w:tcBorders>
              <w:top w:val="single" w:sz="4" w:space="0" w:color="auto"/>
            </w:tcBorders>
          </w:tcPr>
          <w:p w:rsidR="00B83336" w:rsidRDefault="00B83336" w:rsidP="00CC2A8B">
            <w:pPr>
              <w:pStyle w:val="af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CC2A8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95" w:type="dxa"/>
            <w:tcBorders>
              <w:top w:val="single" w:sz="4" w:space="0" w:color="auto"/>
            </w:tcBorders>
          </w:tcPr>
          <w:p w:rsidR="00B83336" w:rsidRDefault="00B83336">
            <w:pPr>
              <w:pStyle w:val="af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</w:tr>
    </w:tbl>
    <w:p w:rsidR="0022571D" w:rsidRDefault="00733AAA">
      <w:pPr>
        <w:pStyle w:val="af3"/>
        <w:spacing w:after="0" w:line="240" w:lineRule="auto"/>
        <w:ind w:left="0" w:firstLine="720"/>
        <w:jc w:val="both"/>
      </w:pP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По результатам рассмотрения обращений приняты решения «поддержано»</w:t>
      </w:r>
      <w:r w:rsidR="00E54CF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 xml:space="preserve"> по 4 вопросам, что составляет 5,7</w:t>
      </w: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 xml:space="preserve">% от общего количества принятых решений. </w:t>
      </w:r>
    </w:p>
    <w:p w:rsidR="0022571D" w:rsidRDefault="00733AAA">
      <w:pPr>
        <w:pStyle w:val="af3"/>
        <w:spacing w:after="0" w:line="240" w:lineRule="auto"/>
        <w:ind w:left="0" w:firstLine="720"/>
        <w:jc w:val="both"/>
      </w:pP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По</w:t>
      </w:r>
      <w:r w:rsidR="00E54CF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 xml:space="preserve"> 61 вопросу даны разъяснения (87,2</w:t>
      </w: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% от общего количества принятых решений).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</w:p>
    <w:p w:rsidR="0022571D" w:rsidRDefault="00733AAA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 xml:space="preserve">Решение «не поддержано» </w:t>
      </w:r>
      <w:r w:rsidR="00E54CF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 xml:space="preserve">принято </w:t>
      </w: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 xml:space="preserve">Обрнадзором Югры при рассмотрении </w:t>
      </w:r>
      <w:r w:rsidR="00E54CF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одного вопроса</w:t>
      </w: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.</w:t>
      </w:r>
    </w:p>
    <w:p w:rsidR="0022571D" w:rsidRDefault="00733AAA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По четырем обращениям (4 вопроса) Обрнадзором Югры принято решение «Оставить без ответа автору». Рассмотрение двух обращений (2 вопроса) прекращено Обрнадзором Югры в связи с поступлением</w:t>
      </w:r>
      <w:r>
        <w:rPr>
          <w:rFonts w:ascii="Times New Roman" w:hAnsi="Times New Roman" w:cs="Times New Roman"/>
          <w:sz w:val="28"/>
          <w:szCs w:val="28"/>
        </w:rPr>
        <w:t xml:space="preserve"> заявлений граждан о прекращении рассмотрения обращения в соответствии с</w:t>
      </w:r>
      <w:bookmarkStart w:id="1" w:name="__DdeLink__1350_4111260948"/>
      <w:r>
        <w:rPr>
          <w:rFonts w:ascii="Times New Roman" w:hAnsi="Times New Roman" w:cs="Times New Roman"/>
          <w:sz w:val="28"/>
          <w:szCs w:val="28"/>
        </w:rPr>
        <w:t xml:space="preserve"> пунктом 5 статьи 5 Федерального закона от 02.05.2006 № 59-ФЗ «О порядке рассмотрения обращений граждан Российской Федерации»</w:t>
      </w:r>
      <w:bookmarkEnd w:id="1"/>
      <w:r>
        <w:rPr>
          <w:rFonts w:ascii="Times New Roman" w:hAnsi="Times New Roman" w:cs="Times New Roman"/>
          <w:sz w:val="28"/>
          <w:szCs w:val="28"/>
        </w:rPr>
        <w:t>. На два анонимных обращения ответ заявителям н</w:t>
      </w:r>
      <w:r w:rsidR="004A4747">
        <w:rPr>
          <w:rFonts w:ascii="Times New Roman" w:hAnsi="Times New Roman" w:cs="Times New Roman"/>
          <w:sz w:val="28"/>
          <w:szCs w:val="28"/>
        </w:rPr>
        <w:t xml:space="preserve">е направлялся в соответствии с </w:t>
      </w:r>
      <w:r>
        <w:rPr>
          <w:rFonts w:ascii="Times New Roman" w:hAnsi="Times New Roman" w:cs="Times New Roman"/>
          <w:sz w:val="28"/>
          <w:szCs w:val="28"/>
        </w:rPr>
        <w:t>пунктом 1 статьи 11 Федерального закона от 02.05.2006 № 59-ФЗ «О порядке рассмотрения обращений граждан Российской Федерации».</w:t>
      </w:r>
    </w:p>
    <w:p w:rsidR="0022571D" w:rsidRDefault="00733AAA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  <w:t>В конце отчетного пер</w:t>
      </w:r>
      <w:r w:rsidR="00892B81"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  <w:t>иода на рассмотрении находятся 3</w:t>
      </w:r>
      <w:r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  <w:t xml:space="preserve"> вопроса.</w:t>
      </w:r>
    </w:p>
    <w:p w:rsidR="0022571D" w:rsidRDefault="00733AAA">
      <w:pPr>
        <w:pStyle w:val="af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На каждый вопрос, направленный по компетенции в Обрнадзор Югры, дается исчерпывающий ответ с указанием норм законодательства.</w:t>
      </w:r>
    </w:p>
    <w:p w:rsidR="0022571D" w:rsidRDefault="00733AA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По итогам рассмотрения обращений Обрнадзором Югры в</w:t>
      </w:r>
      <w:r w:rsidR="006B5F80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о 2 квартале</w:t>
      </w: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 xml:space="preserve"> 201</w:t>
      </w:r>
      <w:r w:rsidR="006B5F80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 xml:space="preserve"> год</w:t>
      </w:r>
      <w:r w:rsidR="006B5F80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 xml:space="preserve"> приняты следующие меры реагирования:</w:t>
      </w:r>
    </w:p>
    <w:p w:rsidR="0022571D" w:rsidRDefault="002257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D0D0D" w:themeColor="text1" w:themeTint="F2"/>
          <w:spacing w:val="-6"/>
          <w:sz w:val="16"/>
          <w:szCs w:val="16"/>
          <w:lang w:eastAsia="ru-RU"/>
        </w:rPr>
      </w:pPr>
    </w:p>
    <w:tbl>
      <w:tblPr>
        <w:tblStyle w:val="af8"/>
        <w:tblW w:w="9524" w:type="dxa"/>
        <w:tblInd w:w="-118" w:type="dxa"/>
        <w:tblLook w:val="04A0" w:firstRow="1" w:lastRow="0" w:firstColumn="1" w:lastColumn="0" w:noHBand="0" w:noVBand="1"/>
      </w:tblPr>
      <w:tblGrid>
        <w:gridCol w:w="532"/>
        <w:gridCol w:w="3238"/>
        <w:gridCol w:w="3769"/>
        <w:gridCol w:w="1985"/>
      </w:tblGrid>
      <w:tr w:rsidR="0022571D" w:rsidTr="00CC2A8B">
        <w:tc>
          <w:tcPr>
            <w:tcW w:w="532" w:type="dxa"/>
            <w:shd w:val="clear" w:color="auto" w:fill="auto"/>
          </w:tcPr>
          <w:p w:rsidR="0022571D" w:rsidRDefault="00733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6"/>
                <w:lang w:eastAsia="ru-RU"/>
              </w:rPr>
              <w:t>№ п/п</w:t>
            </w:r>
          </w:p>
        </w:tc>
        <w:tc>
          <w:tcPr>
            <w:tcW w:w="3238" w:type="dxa"/>
            <w:shd w:val="clear" w:color="auto" w:fill="auto"/>
          </w:tcPr>
          <w:p w:rsidR="0022571D" w:rsidRDefault="00733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6"/>
                <w:lang w:eastAsia="ru-RU"/>
              </w:rPr>
              <w:t>Принятые меры</w:t>
            </w:r>
          </w:p>
        </w:tc>
        <w:tc>
          <w:tcPr>
            <w:tcW w:w="3769" w:type="dxa"/>
            <w:shd w:val="clear" w:color="auto" w:fill="auto"/>
          </w:tcPr>
          <w:p w:rsidR="0022571D" w:rsidRDefault="00733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6"/>
                <w:lang w:eastAsia="ru-RU"/>
              </w:rPr>
              <w:t>Характер вопроса</w:t>
            </w:r>
          </w:p>
        </w:tc>
        <w:tc>
          <w:tcPr>
            <w:tcW w:w="1985" w:type="dxa"/>
            <w:shd w:val="clear" w:color="auto" w:fill="auto"/>
          </w:tcPr>
          <w:p w:rsidR="0022571D" w:rsidRDefault="00733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6"/>
                <w:lang w:eastAsia="ru-RU"/>
              </w:rPr>
              <w:t>Муниципальное образование</w:t>
            </w:r>
          </w:p>
        </w:tc>
      </w:tr>
      <w:tr w:rsidR="0022571D" w:rsidTr="00CC2A8B">
        <w:tc>
          <w:tcPr>
            <w:tcW w:w="532" w:type="dxa"/>
            <w:shd w:val="clear" w:color="auto" w:fill="auto"/>
          </w:tcPr>
          <w:p w:rsidR="0022571D" w:rsidRDefault="00733A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1.</w:t>
            </w:r>
          </w:p>
        </w:tc>
        <w:tc>
          <w:tcPr>
            <w:tcW w:w="3238" w:type="dxa"/>
            <w:shd w:val="clear" w:color="auto" w:fill="auto"/>
          </w:tcPr>
          <w:p w:rsidR="0022571D" w:rsidRDefault="00733AA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Направление информации в УМВД по г. Сургуту для приобщения к материалам уголовного дела (29)</w:t>
            </w:r>
          </w:p>
        </w:tc>
        <w:tc>
          <w:tcPr>
            <w:tcW w:w="3769" w:type="dxa"/>
            <w:shd w:val="clear" w:color="auto" w:fill="auto"/>
          </w:tcPr>
          <w:p w:rsidR="0022571D" w:rsidRDefault="00733AA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Взыскание денежных средств за обучение в отсутствие лицензии на осуществление образовательной деятельности</w:t>
            </w:r>
          </w:p>
        </w:tc>
        <w:tc>
          <w:tcPr>
            <w:tcW w:w="1985" w:type="dxa"/>
            <w:shd w:val="clear" w:color="auto" w:fill="auto"/>
          </w:tcPr>
          <w:p w:rsidR="0022571D" w:rsidRDefault="00733AA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г. Сургут</w:t>
            </w:r>
          </w:p>
        </w:tc>
      </w:tr>
      <w:tr w:rsidR="0022571D" w:rsidTr="00CC2A8B">
        <w:tc>
          <w:tcPr>
            <w:tcW w:w="532" w:type="dxa"/>
            <w:shd w:val="clear" w:color="auto" w:fill="auto"/>
          </w:tcPr>
          <w:p w:rsidR="0022571D" w:rsidRDefault="00733A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2.</w:t>
            </w:r>
          </w:p>
        </w:tc>
        <w:tc>
          <w:tcPr>
            <w:tcW w:w="3238" w:type="dxa"/>
            <w:shd w:val="clear" w:color="auto" w:fill="auto"/>
          </w:tcPr>
          <w:p w:rsidR="0022571D" w:rsidRDefault="00733AA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Выдача предостережения о недопустимости нарушения обязательных требований (1)</w:t>
            </w:r>
          </w:p>
        </w:tc>
        <w:tc>
          <w:tcPr>
            <w:tcW w:w="3769" w:type="dxa"/>
            <w:shd w:val="clear" w:color="auto" w:fill="auto"/>
          </w:tcPr>
          <w:p w:rsidR="0022571D" w:rsidRPr="00CC2A8B" w:rsidRDefault="00E54CF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В</w:t>
            </w:r>
            <w:r w:rsidR="00733AAA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едение образовательной деятельности по образовательной про</w:t>
            </w:r>
            <w:r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грамме, не указанной в лицензии</w:t>
            </w:r>
          </w:p>
        </w:tc>
        <w:tc>
          <w:tcPr>
            <w:tcW w:w="1985" w:type="dxa"/>
            <w:shd w:val="clear" w:color="auto" w:fill="auto"/>
          </w:tcPr>
          <w:p w:rsidR="0022571D" w:rsidRDefault="00733AA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г. Нижневартовск</w:t>
            </w:r>
          </w:p>
        </w:tc>
      </w:tr>
      <w:tr w:rsidR="0022571D" w:rsidTr="00CC2A8B">
        <w:tc>
          <w:tcPr>
            <w:tcW w:w="532" w:type="dxa"/>
            <w:shd w:val="clear" w:color="auto" w:fill="auto"/>
          </w:tcPr>
          <w:p w:rsidR="0022571D" w:rsidRDefault="00733AA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3.</w:t>
            </w:r>
          </w:p>
        </w:tc>
        <w:tc>
          <w:tcPr>
            <w:tcW w:w="3238" w:type="dxa"/>
            <w:shd w:val="clear" w:color="auto" w:fill="auto"/>
          </w:tcPr>
          <w:p w:rsidR="0022571D" w:rsidRDefault="00733AAA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</w:rPr>
              <w:t>Дисциплинарное взыскание (1)</w:t>
            </w:r>
          </w:p>
          <w:p w:rsidR="0022571D" w:rsidRDefault="002257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</w:p>
        </w:tc>
        <w:tc>
          <w:tcPr>
            <w:tcW w:w="3769" w:type="dxa"/>
            <w:shd w:val="clear" w:color="auto" w:fill="auto"/>
          </w:tcPr>
          <w:p w:rsidR="0022571D" w:rsidRDefault="00E54CF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lang w:eastAsia="ru-RU"/>
              </w:rPr>
              <w:t>Принуждение</w:t>
            </w:r>
            <w:r w:rsidR="00733AAA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lang w:eastAsia="ru-RU"/>
              </w:rPr>
              <w:t xml:space="preserve"> родителей к проведению ремонтных работ в классе</w:t>
            </w:r>
          </w:p>
        </w:tc>
        <w:tc>
          <w:tcPr>
            <w:tcW w:w="1985" w:type="dxa"/>
            <w:shd w:val="clear" w:color="auto" w:fill="auto"/>
          </w:tcPr>
          <w:p w:rsidR="0022571D" w:rsidRDefault="00733AA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г. Нефтеюганск</w:t>
            </w:r>
          </w:p>
        </w:tc>
      </w:tr>
      <w:tr w:rsidR="00E54CF9" w:rsidTr="00CC2A8B">
        <w:tc>
          <w:tcPr>
            <w:tcW w:w="532" w:type="dxa"/>
            <w:shd w:val="clear" w:color="auto" w:fill="auto"/>
          </w:tcPr>
          <w:p w:rsidR="00E54CF9" w:rsidRDefault="00E54C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4.</w:t>
            </w:r>
          </w:p>
        </w:tc>
        <w:tc>
          <w:tcPr>
            <w:tcW w:w="3238" w:type="dxa"/>
            <w:shd w:val="clear" w:color="auto" w:fill="auto"/>
          </w:tcPr>
          <w:p w:rsidR="00E54CF9" w:rsidRDefault="00E54CF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Указание на удовлетворение требований заявителя</w:t>
            </w:r>
            <w:r w:rsidR="00CC2A8B">
              <w:rPr>
                <w:rFonts w:ascii="Times New Roman" w:hAnsi="Times New Roman"/>
                <w:color w:val="000000"/>
              </w:rPr>
              <w:t xml:space="preserve"> (1)</w:t>
            </w:r>
          </w:p>
        </w:tc>
        <w:tc>
          <w:tcPr>
            <w:tcW w:w="3769" w:type="dxa"/>
            <w:shd w:val="clear" w:color="auto" w:fill="auto"/>
          </w:tcPr>
          <w:p w:rsidR="00E54CF9" w:rsidRDefault="00E54C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lang w:eastAsia="ru-RU"/>
              </w:rPr>
              <w:t>Отказ в выдаче документов при отчислении из образовательной организации</w:t>
            </w:r>
          </w:p>
        </w:tc>
        <w:tc>
          <w:tcPr>
            <w:tcW w:w="1985" w:type="dxa"/>
            <w:shd w:val="clear" w:color="auto" w:fill="auto"/>
          </w:tcPr>
          <w:p w:rsidR="00E54CF9" w:rsidRDefault="00E54C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г. Урай</w:t>
            </w:r>
          </w:p>
        </w:tc>
      </w:tr>
      <w:tr w:rsidR="009C37C6" w:rsidTr="00CC2A8B">
        <w:tc>
          <w:tcPr>
            <w:tcW w:w="532" w:type="dxa"/>
            <w:shd w:val="clear" w:color="auto" w:fill="auto"/>
          </w:tcPr>
          <w:p w:rsidR="009C37C6" w:rsidRDefault="009C37C6" w:rsidP="009C37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5.</w:t>
            </w:r>
          </w:p>
        </w:tc>
        <w:tc>
          <w:tcPr>
            <w:tcW w:w="3238" w:type="dxa"/>
            <w:shd w:val="clear" w:color="auto" w:fill="auto"/>
          </w:tcPr>
          <w:p w:rsidR="009C37C6" w:rsidRDefault="009C37C6" w:rsidP="00CC2A8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Прекращен</w:t>
            </w:r>
            <w:r w:rsidR="00CC2A8B">
              <w:rPr>
                <w:rFonts w:ascii="Times New Roman" w:hAnsi="Times New Roman"/>
                <w:color w:val="000000"/>
              </w:rPr>
              <w:t>ие</w:t>
            </w:r>
            <w:r>
              <w:rPr>
                <w:rFonts w:ascii="Times New Roman" w:hAnsi="Times New Roman"/>
                <w:color w:val="000000"/>
              </w:rPr>
              <w:t xml:space="preserve"> рассмотрени</w:t>
            </w:r>
            <w:r w:rsidR="00CC2A8B">
              <w:rPr>
                <w:rFonts w:ascii="Times New Roman" w:hAnsi="Times New Roman"/>
                <w:color w:val="000000"/>
              </w:rPr>
              <w:t>я</w:t>
            </w:r>
            <w:r>
              <w:rPr>
                <w:rFonts w:ascii="Times New Roman" w:hAnsi="Times New Roman"/>
                <w:color w:val="000000"/>
              </w:rPr>
              <w:t xml:space="preserve"> ранее направленного обращения</w:t>
            </w:r>
            <w:r w:rsidR="00CC2A8B">
              <w:rPr>
                <w:rFonts w:ascii="Times New Roman" w:hAnsi="Times New Roman"/>
                <w:color w:val="000000"/>
              </w:rPr>
              <w:t xml:space="preserve"> (2)</w:t>
            </w:r>
          </w:p>
        </w:tc>
        <w:tc>
          <w:tcPr>
            <w:tcW w:w="3769" w:type="dxa"/>
            <w:shd w:val="clear" w:color="auto" w:fill="auto"/>
          </w:tcPr>
          <w:p w:rsidR="009C37C6" w:rsidRDefault="009C37C6" w:rsidP="009C37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lang w:eastAsia="ru-RU"/>
              </w:rPr>
              <w:t>Поступление заявления о прекращении рассмотрения обращения</w:t>
            </w:r>
          </w:p>
        </w:tc>
        <w:tc>
          <w:tcPr>
            <w:tcW w:w="1985" w:type="dxa"/>
            <w:shd w:val="clear" w:color="auto" w:fill="auto"/>
          </w:tcPr>
          <w:p w:rsidR="009C37C6" w:rsidRDefault="009C37C6" w:rsidP="009C37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г. Сургут, </w:t>
            </w:r>
          </w:p>
          <w:p w:rsidR="009C37C6" w:rsidRDefault="009C37C6" w:rsidP="009C37C6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г. Ханты-Мансийск</w:t>
            </w:r>
          </w:p>
        </w:tc>
      </w:tr>
    </w:tbl>
    <w:p w:rsidR="0022571D" w:rsidRDefault="002257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</w:pPr>
    </w:p>
    <w:p w:rsidR="0022571D" w:rsidRPr="001856F5" w:rsidRDefault="00733AAA" w:rsidP="001856F5">
      <w:pPr>
        <w:pStyle w:val="af3"/>
        <w:numPr>
          <w:ilvl w:val="0"/>
          <w:numId w:val="4"/>
        </w:num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56F5">
        <w:rPr>
          <w:rFonts w:ascii="Times New Roman" w:hAnsi="Times New Roman" w:cs="Times New Roman"/>
          <w:b/>
          <w:sz w:val="28"/>
          <w:szCs w:val="28"/>
        </w:rPr>
        <w:t xml:space="preserve"> Оценка мнения заявителей о результатах рассмотрения вопросов, содержащихся в обращениях </w:t>
      </w:r>
    </w:p>
    <w:p w:rsidR="0022571D" w:rsidRDefault="0022571D">
      <w:pPr>
        <w:pStyle w:val="af3"/>
        <w:suppressAutoHyphens/>
        <w:spacing w:after="0" w:line="240" w:lineRule="auto"/>
        <w:ind w:left="644"/>
        <w:rPr>
          <w:rFonts w:ascii="Times New Roman" w:hAnsi="Times New Roman" w:cs="Times New Roman"/>
          <w:b/>
          <w:sz w:val="28"/>
          <w:szCs w:val="28"/>
        </w:rPr>
      </w:pPr>
    </w:p>
    <w:p w:rsidR="0022571D" w:rsidRDefault="00733AAA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Обрнадзором Югры инициировались оценивание заявителями результатов рассмотрения обращений. Вместе с тем оценка результатов рассмотрения вопросов, содержащихся в обращениях, со стороны авторов обращений в большинстве случаев не давалась: в отчетный период поступила одна положительная оценка со стороны заявителя.</w:t>
      </w:r>
    </w:p>
    <w:p w:rsidR="0022571D" w:rsidRDefault="00733AAA">
      <w:pPr>
        <w:pStyle w:val="af3"/>
        <w:suppressAutoHyphens/>
        <w:spacing w:after="0" w:line="240" w:lineRule="auto"/>
        <w:ind w:left="0" w:firstLine="786"/>
        <w:jc w:val="both"/>
      </w:pPr>
      <w:r>
        <w:rPr>
          <w:rFonts w:ascii="Times New Roman" w:hAnsi="Times New Roman" w:cs="Times New Roman"/>
          <w:sz w:val="28"/>
          <w:szCs w:val="28"/>
        </w:rPr>
        <w:lastRenderedPageBreak/>
        <w:t>Анализ обращений граждан, поступивших в Обрнадзор Югры в</w:t>
      </w:r>
      <w:r w:rsidR="006B5F80">
        <w:rPr>
          <w:rFonts w:ascii="Times New Roman" w:hAnsi="Times New Roman" w:cs="Times New Roman"/>
          <w:sz w:val="28"/>
          <w:szCs w:val="28"/>
        </w:rPr>
        <w:t>о 2 квартале 2019 года</w:t>
      </w:r>
      <w:r>
        <w:rPr>
          <w:rFonts w:ascii="Times New Roman" w:hAnsi="Times New Roman" w:cs="Times New Roman"/>
          <w:sz w:val="28"/>
          <w:szCs w:val="28"/>
        </w:rPr>
        <w:t xml:space="preserve">, свидетельствует об удовлетворенности заявителей результатами рассмотрения и принятыми мерами, поскольку жалобы на действия должностных лиц Службы при рассмотрении обращений в 2019 году не поступали. </w:t>
      </w:r>
    </w:p>
    <w:p w:rsidR="0022571D" w:rsidRDefault="00733AAA">
      <w:pPr>
        <w:pStyle w:val="af3"/>
        <w:suppressAutoHyphens/>
        <w:spacing w:after="0" w:line="240" w:lineRule="auto"/>
        <w:ind w:left="0" w:firstLine="7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работе с обращениями граждан в Службе отсутствует судебная практика привлечения к ответственности должностных лиц Обрнадзора Югры за нарушение порядка рассмотрения обращений.</w:t>
      </w:r>
    </w:p>
    <w:p w:rsidR="0022571D" w:rsidRDefault="0022571D">
      <w:pPr>
        <w:pStyle w:val="af3"/>
        <w:suppressAutoHyphens/>
        <w:spacing w:after="0" w:line="240" w:lineRule="auto"/>
        <w:ind w:left="0" w:firstLine="786"/>
        <w:jc w:val="both"/>
        <w:rPr>
          <w:rFonts w:ascii="Times New Roman" w:hAnsi="Times New Roman" w:cs="Times New Roman"/>
          <w:sz w:val="28"/>
          <w:szCs w:val="28"/>
        </w:rPr>
      </w:pPr>
    </w:p>
    <w:p w:rsidR="0022571D" w:rsidRPr="001856F5" w:rsidRDefault="001856F5" w:rsidP="001856F5">
      <w:pPr>
        <w:suppressAutoHyphens/>
        <w:spacing w:after="0" w:line="240" w:lineRule="auto"/>
        <w:ind w:left="64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16. </w:t>
      </w:r>
      <w:r w:rsidR="00733AAA" w:rsidRPr="001856F5">
        <w:rPr>
          <w:rFonts w:ascii="Times New Roman" w:hAnsi="Times New Roman" w:cs="Times New Roman"/>
          <w:b/>
          <w:sz w:val="28"/>
          <w:szCs w:val="28"/>
        </w:rPr>
        <w:t>Заключительные положения</w:t>
      </w:r>
    </w:p>
    <w:p w:rsidR="0022571D" w:rsidRDefault="0022571D">
      <w:pPr>
        <w:pStyle w:val="af3"/>
        <w:suppressAutoHyphens/>
        <w:spacing w:after="0" w:line="240" w:lineRule="auto"/>
        <w:ind w:left="426"/>
        <w:rPr>
          <w:rFonts w:ascii="Times New Roman" w:hAnsi="Times New Roman" w:cs="Times New Roman"/>
          <w:b/>
          <w:sz w:val="28"/>
          <w:szCs w:val="28"/>
        </w:rPr>
      </w:pPr>
    </w:p>
    <w:p w:rsidR="0022571D" w:rsidRDefault="00733AAA">
      <w:pPr>
        <w:suppressAutoHyphens/>
        <w:spacing w:after="0" w:line="240" w:lineRule="auto"/>
        <w:ind w:firstLine="851"/>
        <w:jc w:val="both"/>
      </w:pPr>
      <w:r>
        <w:rPr>
          <w:rFonts w:ascii="Times New Roman" w:hAnsi="Times New Roman" w:cs="Times New Roman"/>
          <w:sz w:val="28"/>
          <w:szCs w:val="28"/>
        </w:rPr>
        <w:t>Анализ рассмотренных Службой во 2 квартале 2019 год</w:t>
      </w:r>
      <w:r w:rsidR="00CC2A8B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обращений граждан, в том числе юридических лиц, а также результатов их рассмотрения и принятых мер показал следующее:</w:t>
      </w:r>
    </w:p>
    <w:p w:rsidR="004A4747" w:rsidRPr="004A4747" w:rsidRDefault="004A4747" w:rsidP="004A4747">
      <w:pPr>
        <w:suppressAutoHyphens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A4747">
        <w:rPr>
          <w:rFonts w:ascii="Times New Roman" w:hAnsi="Times New Roman" w:cs="Times New Roman"/>
          <w:sz w:val="28"/>
          <w:szCs w:val="28"/>
        </w:rPr>
        <w:t xml:space="preserve">активность населения </w:t>
      </w:r>
      <w:r w:rsidRPr="004A4747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по вопросам, относящимся к компетенции Обрнадзора Югры,</w:t>
      </w:r>
      <w:r w:rsidRPr="004A4747">
        <w:rPr>
          <w:rFonts w:ascii="Times New Roman" w:hAnsi="Times New Roman" w:cs="Times New Roman"/>
          <w:sz w:val="28"/>
          <w:szCs w:val="28"/>
        </w:rPr>
        <w:t xml:space="preserve"> в сравнении с </w:t>
      </w:r>
      <w:r>
        <w:rPr>
          <w:rFonts w:ascii="Times New Roman" w:hAnsi="Times New Roman" w:cs="Times New Roman"/>
          <w:sz w:val="28"/>
          <w:szCs w:val="28"/>
        </w:rPr>
        <w:t>аналогичными периодами 2018-2017 годов</w:t>
      </w:r>
      <w:r w:rsidRPr="004A47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возросла</w:t>
      </w:r>
      <w:r w:rsidRPr="004A4747">
        <w:rPr>
          <w:rFonts w:ascii="Times New Roman" w:hAnsi="Times New Roman" w:cs="Times New Roman"/>
          <w:sz w:val="28"/>
          <w:szCs w:val="28"/>
        </w:rPr>
        <w:t>;</w:t>
      </w:r>
    </w:p>
    <w:p w:rsidR="004A4747" w:rsidRPr="004A4747" w:rsidRDefault="004A4747" w:rsidP="004A4747">
      <w:pPr>
        <w:suppressAutoHyphens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большинство обращений </w:t>
      </w:r>
      <w:r w:rsidRPr="004A4747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раждане направляют в форме электронного документа</w:t>
      </w:r>
      <w:r w:rsidRPr="004A4747">
        <w:rPr>
          <w:rFonts w:ascii="Times New Roman" w:hAnsi="Times New Roman" w:cs="Times New Roman"/>
          <w:sz w:val="28"/>
          <w:szCs w:val="28"/>
        </w:rPr>
        <w:t>;</w:t>
      </w:r>
    </w:p>
    <w:p w:rsidR="004A4747" w:rsidRDefault="004A4747" w:rsidP="004A4747">
      <w:pPr>
        <w:suppressAutoHyphens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A4747">
        <w:rPr>
          <w:rFonts w:ascii="Times New Roman" w:hAnsi="Times New Roman" w:cs="Times New Roman"/>
          <w:sz w:val="28"/>
          <w:szCs w:val="28"/>
        </w:rPr>
        <w:t xml:space="preserve">сохраняется тенденция направления заявителями обращений в адрес Службы по вопросам, не относящимся </w:t>
      </w:r>
      <w:r>
        <w:rPr>
          <w:rFonts w:ascii="Times New Roman" w:hAnsi="Times New Roman" w:cs="Times New Roman"/>
          <w:sz w:val="28"/>
          <w:szCs w:val="28"/>
        </w:rPr>
        <w:t>к ее компетенции;</w:t>
      </w:r>
    </w:p>
    <w:p w:rsidR="0022571D" w:rsidRPr="004A4747" w:rsidRDefault="004A4747" w:rsidP="004A4747">
      <w:pPr>
        <w:suppressAutoHyphens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поступившие в Обрнадзор Югры обращения рассмотрены в соответствии с требованиями Федерального закона от 02.05.2006 № 59-ФЗ «О порядке рассмотрения обращений граждан Российской Федерации».</w:t>
      </w:r>
    </w:p>
    <w:sectPr w:rsidR="0022571D" w:rsidRPr="004A4747">
      <w:headerReference w:type="default" r:id="rId16"/>
      <w:pgSz w:w="11906" w:h="16838"/>
      <w:pgMar w:top="1418" w:right="1133" w:bottom="851" w:left="1559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6A07" w:rsidRDefault="00E96A07">
      <w:pPr>
        <w:spacing w:after="0" w:line="240" w:lineRule="auto"/>
      </w:pPr>
      <w:r>
        <w:separator/>
      </w:r>
    </w:p>
  </w:endnote>
  <w:endnote w:type="continuationSeparator" w:id="0">
    <w:p w:rsidR="00E96A07" w:rsidRDefault="00E96A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6A07" w:rsidRDefault="00E96A07">
      <w:pPr>
        <w:spacing w:after="0" w:line="240" w:lineRule="auto"/>
      </w:pPr>
      <w:r>
        <w:separator/>
      </w:r>
    </w:p>
  </w:footnote>
  <w:footnote w:type="continuationSeparator" w:id="0">
    <w:p w:rsidR="00E96A07" w:rsidRDefault="00E96A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70BB" w:rsidRDefault="00C570BB">
    <w:pPr>
      <w:pStyle w:val="af"/>
      <w:jc w:val="center"/>
    </w:pPr>
  </w:p>
  <w:p w:rsidR="00C570BB" w:rsidRDefault="00C570BB">
    <w:pPr>
      <w:pStyle w:val="af"/>
      <w:jc w:val="center"/>
    </w:pPr>
  </w:p>
  <w:p w:rsidR="00C570BB" w:rsidRDefault="00C570BB">
    <w:pPr>
      <w:pStyle w:val="af"/>
      <w:jc w:val="center"/>
    </w:pPr>
  </w:p>
  <w:sdt>
    <w:sdtPr>
      <w:id w:val="1617612160"/>
      <w:docPartObj>
        <w:docPartGallery w:val="Page Numbers (Top of Page)"/>
        <w:docPartUnique/>
      </w:docPartObj>
    </w:sdtPr>
    <w:sdtContent>
      <w:p w:rsidR="00C570BB" w:rsidRDefault="00C570BB">
        <w:pPr>
          <w:pStyle w:val="af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EC4D81">
          <w:rPr>
            <w:noProof/>
          </w:rPr>
          <w:t>13</w:t>
        </w:r>
        <w:r>
          <w:fldChar w:fldCharType="end"/>
        </w:r>
      </w:p>
      <w:p w:rsidR="00C570BB" w:rsidRDefault="00C570BB">
        <w:pPr>
          <w:pStyle w:val="af"/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C20FC9"/>
    <w:multiLevelType w:val="multilevel"/>
    <w:tmpl w:val="E63A02D4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50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1866" w:hanging="720"/>
      </w:pPr>
    </w:lvl>
    <w:lvl w:ilvl="3">
      <w:start w:val="1"/>
      <w:numFmt w:val="decimal"/>
      <w:lvlText w:val="%1.%2.%3.%4."/>
      <w:lvlJc w:val="left"/>
      <w:pPr>
        <w:ind w:left="2586" w:hanging="1080"/>
      </w:pPr>
    </w:lvl>
    <w:lvl w:ilvl="4">
      <w:start w:val="1"/>
      <w:numFmt w:val="decimal"/>
      <w:lvlText w:val="%1.%2.%3.%4.%5."/>
      <w:lvlJc w:val="left"/>
      <w:pPr>
        <w:ind w:left="2946" w:hanging="1080"/>
      </w:pPr>
    </w:lvl>
    <w:lvl w:ilvl="5">
      <w:start w:val="1"/>
      <w:numFmt w:val="decimal"/>
      <w:lvlText w:val="%1.%2.%3.%4.%5.%6."/>
      <w:lvlJc w:val="left"/>
      <w:pPr>
        <w:ind w:left="3666" w:hanging="1440"/>
      </w:pPr>
    </w:lvl>
    <w:lvl w:ilvl="6">
      <w:start w:val="1"/>
      <w:numFmt w:val="decimal"/>
      <w:lvlText w:val="%1.%2.%3.%4.%5.%6.%7."/>
      <w:lvlJc w:val="left"/>
      <w:pPr>
        <w:ind w:left="4386" w:hanging="1800"/>
      </w:pPr>
    </w:lvl>
    <w:lvl w:ilvl="7">
      <w:start w:val="1"/>
      <w:numFmt w:val="decimal"/>
      <w:lvlText w:val="%1.%2.%3.%4.%5.%6.%7.%8."/>
      <w:lvlJc w:val="left"/>
      <w:pPr>
        <w:ind w:left="4746" w:hanging="1800"/>
      </w:pPr>
    </w:lvl>
    <w:lvl w:ilvl="8">
      <w:start w:val="1"/>
      <w:numFmt w:val="decimal"/>
      <w:lvlText w:val="%1.%2.%3.%4.%5.%6.%7.%8.%9."/>
      <w:lvlJc w:val="left"/>
      <w:pPr>
        <w:ind w:left="5466" w:hanging="2160"/>
      </w:pPr>
    </w:lvl>
  </w:abstractNum>
  <w:abstractNum w:abstractNumId="1">
    <w:nsid w:val="225A1643"/>
    <w:multiLevelType w:val="multilevel"/>
    <w:tmpl w:val="8EE67E0E"/>
    <w:lvl w:ilvl="0">
      <w:start w:val="7"/>
      <w:numFmt w:val="decimal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362E42A8"/>
    <w:multiLevelType w:val="multilevel"/>
    <w:tmpl w:val="AE22F8E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44C4490D"/>
    <w:multiLevelType w:val="hybridMultilevel"/>
    <w:tmpl w:val="6692642C"/>
    <w:lvl w:ilvl="0" w:tplc="76005752">
      <w:start w:val="15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4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571D"/>
    <w:rsid w:val="00003811"/>
    <w:rsid w:val="000C750D"/>
    <w:rsid w:val="001856F5"/>
    <w:rsid w:val="00190027"/>
    <w:rsid w:val="0022571D"/>
    <w:rsid w:val="002B5AEA"/>
    <w:rsid w:val="002D0A27"/>
    <w:rsid w:val="00322ACF"/>
    <w:rsid w:val="00383AF6"/>
    <w:rsid w:val="004023EB"/>
    <w:rsid w:val="004A4747"/>
    <w:rsid w:val="00586834"/>
    <w:rsid w:val="005C72E4"/>
    <w:rsid w:val="005F1A5C"/>
    <w:rsid w:val="00672592"/>
    <w:rsid w:val="006B5F80"/>
    <w:rsid w:val="006D48CD"/>
    <w:rsid w:val="006E1B20"/>
    <w:rsid w:val="00733AAA"/>
    <w:rsid w:val="007A2643"/>
    <w:rsid w:val="00892B81"/>
    <w:rsid w:val="00897307"/>
    <w:rsid w:val="00957ACA"/>
    <w:rsid w:val="00996D6D"/>
    <w:rsid w:val="009B1622"/>
    <w:rsid w:val="009C37C6"/>
    <w:rsid w:val="00A41DF8"/>
    <w:rsid w:val="00B06BCC"/>
    <w:rsid w:val="00B83336"/>
    <w:rsid w:val="00B9410B"/>
    <w:rsid w:val="00BA7E15"/>
    <w:rsid w:val="00BE7CC9"/>
    <w:rsid w:val="00C10887"/>
    <w:rsid w:val="00C570BB"/>
    <w:rsid w:val="00CC2A8B"/>
    <w:rsid w:val="00CE1CC7"/>
    <w:rsid w:val="00D035ED"/>
    <w:rsid w:val="00D14DF4"/>
    <w:rsid w:val="00D231FD"/>
    <w:rsid w:val="00E01E2C"/>
    <w:rsid w:val="00E54CF9"/>
    <w:rsid w:val="00E96A07"/>
    <w:rsid w:val="00EC4D81"/>
    <w:rsid w:val="00EE7AD8"/>
    <w:rsid w:val="00F50EA2"/>
    <w:rsid w:val="00F64589"/>
    <w:rsid w:val="00F80E0F"/>
    <w:rsid w:val="00F95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18600B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basedOn w:val="a0"/>
    <w:uiPriority w:val="99"/>
    <w:qFormat/>
    <w:rsid w:val="00617B40"/>
  </w:style>
  <w:style w:type="character" w:customStyle="1" w:styleId="a5">
    <w:name w:val="Нижний колонтитул Знак"/>
    <w:basedOn w:val="a0"/>
    <w:uiPriority w:val="99"/>
    <w:qFormat/>
    <w:rsid w:val="00617B40"/>
  </w:style>
  <w:style w:type="character" w:customStyle="1" w:styleId="a6">
    <w:name w:val="Основной текст с отступом Знак"/>
    <w:basedOn w:val="a0"/>
    <w:qFormat/>
    <w:rsid w:val="009917B5"/>
    <w:rPr>
      <w:rFonts w:ascii="Century Gothic" w:eastAsia="Times New Roman" w:hAnsi="Century Gothic" w:cs="Times New Roman"/>
      <w:lang w:val="en-US"/>
    </w:rPr>
  </w:style>
  <w:style w:type="character" w:customStyle="1" w:styleId="-">
    <w:name w:val="Интернет-ссылка"/>
    <w:rsid w:val="00365A46"/>
    <w:rPr>
      <w:color w:val="0000FF"/>
      <w:u w:val="single"/>
    </w:rPr>
  </w:style>
  <w:style w:type="character" w:customStyle="1" w:styleId="a7">
    <w:name w:val="Основной текст_"/>
    <w:basedOn w:val="a0"/>
    <w:qFormat/>
    <w:rsid w:val="002C1952"/>
    <w:rPr>
      <w:rFonts w:ascii="Times New Roman" w:eastAsia="Times New Roman" w:hAnsi="Times New Roman" w:cs="Times New Roman"/>
      <w:spacing w:val="6"/>
      <w:shd w:val="clear" w:color="auto" w:fill="FFFFFF"/>
    </w:rPr>
  </w:style>
  <w:style w:type="character" w:customStyle="1" w:styleId="3">
    <w:name w:val="Основной текст (3)_"/>
    <w:basedOn w:val="a0"/>
    <w:link w:val="30"/>
    <w:qFormat/>
    <w:rsid w:val="002C1952"/>
    <w:rPr>
      <w:rFonts w:ascii="Times New Roman" w:eastAsia="Times New Roman" w:hAnsi="Times New Roman" w:cs="Times New Roman"/>
      <w:spacing w:val="7"/>
      <w:shd w:val="clear" w:color="auto" w:fill="FFFFFF"/>
    </w:rPr>
  </w:style>
  <w:style w:type="character" w:customStyle="1" w:styleId="ListLabel1">
    <w:name w:val="ListLabel 1"/>
    <w:qFormat/>
    <w:rPr>
      <w:b/>
    </w:rPr>
  </w:style>
  <w:style w:type="character" w:customStyle="1" w:styleId="ListLabel2">
    <w:name w:val="ListLabel 2"/>
    <w:qFormat/>
    <w:rPr>
      <w:b/>
    </w:rPr>
  </w:style>
  <w:style w:type="character" w:customStyle="1" w:styleId="ListLabel3">
    <w:name w:val="ListLabel 3"/>
    <w:qFormat/>
    <w:rPr>
      <w:b/>
    </w:rPr>
  </w:style>
  <w:style w:type="character" w:customStyle="1" w:styleId="ListLabel4">
    <w:name w:val="ListLabel 4"/>
    <w:qFormat/>
    <w:rPr>
      <w:b/>
    </w:rPr>
  </w:style>
  <w:style w:type="paragraph" w:customStyle="1" w:styleId="a8">
    <w:name w:val="Заголовок"/>
    <w:basedOn w:val="a"/>
    <w:next w:val="a9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9">
    <w:name w:val="Body Text"/>
    <w:basedOn w:val="a"/>
    <w:pPr>
      <w:spacing w:after="140"/>
    </w:pPr>
  </w:style>
  <w:style w:type="paragraph" w:styleId="aa">
    <w:name w:val="List"/>
    <w:basedOn w:val="a9"/>
    <w:rPr>
      <w:rFonts w:cs="Mangal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c">
    <w:name w:val="index heading"/>
    <w:basedOn w:val="a"/>
    <w:qFormat/>
    <w:pPr>
      <w:suppressLineNumbers/>
    </w:pPr>
    <w:rPr>
      <w:rFonts w:cs="Mangal"/>
    </w:rPr>
  </w:style>
  <w:style w:type="paragraph" w:styleId="ad">
    <w:name w:val="Title"/>
    <w:basedOn w:val="a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e">
    <w:name w:val="Balloon Text"/>
    <w:basedOn w:val="a"/>
    <w:uiPriority w:val="99"/>
    <w:semiHidden/>
    <w:unhideWhenUsed/>
    <w:qFormat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">
    <w:name w:val="header"/>
    <w:basedOn w:val="a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paragraph" w:styleId="af0">
    <w:name w:val="footer"/>
    <w:basedOn w:val="a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ConsPlusTitle">
    <w:name w:val="ConsPlusTitle"/>
    <w:uiPriority w:val="99"/>
    <w:qFormat/>
    <w:rsid w:val="009917B5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f1">
    <w:name w:val="Body Text Indent"/>
    <w:basedOn w:val="a"/>
    <w:rsid w:val="009917B5"/>
    <w:pPr>
      <w:spacing w:after="120"/>
      <w:ind w:left="283"/>
    </w:pPr>
    <w:rPr>
      <w:rFonts w:ascii="Century Gothic" w:eastAsia="Times New Roman" w:hAnsi="Century Gothic" w:cs="Times New Roman"/>
      <w:lang w:val="en-US"/>
    </w:rPr>
  </w:style>
  <w:style w:type="paragraph" w:styleId="af2">
    <w:name w:val="No Spacing"/>
    <w:uiPriority w:val="1"/>
    <w:qFormat/>
    <w:rsid w:val="003F2416"/>
    <w:rPr>
      <w:sz w:val="22"/>
    </w:rPr>
  </w:style>
  <w:style w:type="paragraph" w:customStyle="1" w:styleId="1">
    <w:name w:val="Обычный1"/>
    <w:qFormat/>
    <w:rsid w:val="008C62A3"/>
    <w:pPr>
      <w:spacing w:line="300" w:lineRule="auto"/>
      <w:ind w:left="5200" w:right="80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3">
    <w:name w:val="List Paragraph"/>
    <w:basedOn w:val="a"/>
    <w:uiPriority w:val="34"/>
    <w:qFormat/>
    <w:rsid w:val="00282E54"/>
    <w:pPr>
      <w:ind w:left="720"/>
      <w:contextualSpacing/>
    </w:pPr>
  </w:style>
  <w:style w:type="paragraph" w:styleId="af4">
    <w:name w:val="Normal (Web)"/>
    <w:basedOn w:val="a"/>
    <w:uiPriority w:val="99"/>
    <w:unhideWhenUsed/>
    <w:qFormat/>
    <w:rsid w:val="00C80A58"/>
    <w:pPr>
      <w:spacing w:before="150" w:after="225" w:line="33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Основной текст1"/>
    <w:basedOn w:val="a"/>
    <w:qFormat/>
    <w:rsid w:val="002C1952"/>
    <w:pPr>
      <w:widowControl w:val="0"/>
      <w:shd w:val="clear" w:color="auto" w:fill="FFFFFF"/>
      <w:spacing w:after="0" w:line="331" w:lineRule="exact"/>
      <w:jc w:val="both"/>
    </w:pPr>
    <w:rPr>
      <w:rFonts w:ascii="Times New Roman" w:eastAsia="Times New Roman" w:hAnsi="Times New Roman" w:cs="Times New Roman"/>
      <w:spacing w:val="6"/>
    </w:rPr>
  </w:style>
  <w:style w:type="paragraph" w:customStyle="1" w:styleId="30">
    <w:name w:val="Основной текст (3)"/>
    <w:basedOn w:val="a"/>
    <w:link w:val="3"/>
    <w:qFormat/>
    <w:rsid w:val="002C1952"/>
    <w:pPr>
      <w:widowControl w:val="0"/>
      <w:shd w:val="clear" w:color="auto" w:fill="FFFFFF"/>
      <w:spacing w:after="0" w:line="322" w:lineRule="exact"/>
      <w:jc w:val="center"/>
    </w:pPr>
    <w:rPr>
      <w:rFonts w:ascii="Times New Roman" w:eastAsia="Times New Roman" w:hAnsi="Times New Roman" w:cs="Times New Roman"/>
      <w:b/>
      <w:bCs/>
      <w:spacing w:val="7"/>
    </w:rPr>
  </w:style>
  <w:style w:type="paragraph" w:customStyle="1" w:styleId="Default">
    <w:name w:val="Default"/>
    <w:qFormat/>
    <w:rsid w:val="004421C3"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5">
    <w:name w:val="Содержимое врезки"/>
    <w:basedOn w:val="a"/>
    <w:qFormat/>
  </w:style>
  <w:style w:type="paragraph" w:customStyle="1" w:styleId="af6">
    <w:name w:val="Содержимое таблицы"/>
    <w:basedOn w:val="a"/>
    <w:qFormat/>
    <w:pPr>
      <w:suppressLineNumbers/>
    </w:pPr>
  </w:style>
  <w:style w:type="paragraph" w:customStyle="1" w:styleId="af7">
    <w:name w:val="Заголовок таблицы"/>
    <w:basedOn w:val="af6"/>
    <w:qFormat/>
    <w:pPr>
      <w:jc w:val="center"/>
    </w:pPr>
    <w:rPr>
      <w:b/>
      <w:bCs/>
    </w:rPr>
  </w:style>
  <w:style w:type="table" w:styleId="af8">
    <w:name w:val="Table Grid"/>
    <w:basedOn w:val="a1"/>
    <w:uiPriority w:val="59"/>
    <w:rsid w:val="001860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f8"/>
    <w:uiPriority w:val="59"/>
    <w:rsid w:val="00F95FA0"/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18600B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basedOn w:val="a0"/>
    <w:uiPriority w:val="99"/>
    <w:qFormat/>
    <w:rsid w:val="00617B40"/>
  </w:style>
  <w:style w:type="character" w:customStyle="1" w:styleId="a5">
    <w:name w:val="Нижний колонтитул Знак"/>
    <w:basedOn w:val="a0"/>
    <w:uiPriority w:val="99"/>
    <w:qFormat/>
    <w:rsid w:val="00617B40"/>
  </w:style>
  <w:style w:type="character" w:customStyle="1" w:styleId="a6">
    <w:name w:val="Основной текст с отступом Знак"/>
    <w:basedOn w:val="a0"/>
    <w:qFormat/>
    <w:rsid w:val="009917B5"/>
    <w:rPr>
      <w:rFonts w:ascii="Century Gothic" w:eastAsia="Times New Roman" w:hAnsi="Century Gothic" w:cs="Times New Roman"/>
      <w:lang w:val="en-US"/>
    </w:rPr>
  </w:style>
  <w:style w:type="character" w:customStyle="1" w:styleId="-">
    <w:name w:val="Интернет-ссылка"/>
    <w:rsid w:val="00365A46"/>
    <w:rPr>
      <w:color w:val="0000FF"/>
      <w:u w:val="single"/>
    </w:rPr>
  </w:style>
  <w:style w:type="character" w:customStyle="1" w:styleId="a7">
    <w:name w:val="Основной текст_"/>
    <w:basedOn w:val="a0"/>
    <w:qFormat/>
    <w:rsid w:val="002C1952"/>
    <w:rPr>
      <w:rFonts w:ascii="Times New Roman" w:eastAsia="Times New Roman" w:hAnsi="Times New Roman" w:cs="Times New Roman"/>
      <w:spacing w:val="6"/>
      <w:shd w:val="clear" w:color="auto" w:fill="FFFFFF"/>
    </w:rPr>
  </w:style>
  <w:style w:type="character" w:customStyle="1" w:styleId="3">
    <w:name w:val="Основной текст (3)_"/>
    <w:basedOn w:val="a0"/>
    <w:link w:val="30"/>
    <w:qFormat/>
    <w:rsid w:val="002C1952"/>
    <w:rPr>
      <w:rFonts w:ascii="Times New Roman" w:eastAsia="Times New Roman" w:hAnsi="Times New Roman" w:cs="Times New Roman"/>
      <w:spacing w:val="7"/>
      <w:shd w:val="clear" w:color="auto" w:fill="FFFFFF"/>
    </w:rPr>
  </w:style>
  <w:style w:type="character" w:customStyle="1" w:styleId="ListLabel1">
    <w:name w:val="ListLabel 1"/>
    <w:qFormat/>
    <w:rPr>
      <w:b/>
    </w:rPr>
  </w:style>
  <w:style w:type="character" w:customStyle="1" w:styleId="ListLabel2">
    <w:name w:val="ListLabel 2"/>
    <w:qFormat/>
    <w:rPr>
      <w:b/>
    </w:rPr>
  </w:style>
  <w:style w:type="character" w:customStyle="1" w:styleId="ListLabel3">
    <w:name w:val="ListLabel 3"/>
    <w:qFormat/>
    <w:rPr>
      <w:b/>
    </w:rPr>
  </w:style>
  <w:style w:type="character" w:customStyle="1" w:styleId="ListLabel4">
    <w:name w:val="ListLabel 4"/>
    <w:qFormat/>
    <w:rPr>
      <w:b/>
    </w:rPr>
  </w:style>
  <w:style w:type="paragraph" w:customStyle="1" w:styleId="a8">
    <w:name w:val="Заголовок"/>
    <w:basedOn w:val="a"/>
    <w:next w:val="a9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9">
    <w:name w:val="Body Text"/>
    <w:basedOn w:val="a"/>
    <w:pPr>
      <w:spacing w:after="140"/>
    </w:pPr>
  </w:style>
  <w:style w:type="paragraph" w:styleId="aa">
    <w:name w:val="List"/>
    <w:basedOn w:val="a9"/>
    <w:rPr>
      <w:rFonts w:cs="Mangal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c">
    <w:name w:val="index heading"/>
    <w:basedOn w:val="a"/>
    <w:qFormat/>
    <w:pPr>
      <w:suppressLineNumbers/>
    </w:pPr>
    <w:rPr>
      <w:rFonts w:cs="Mangal"/>
    </w:rPr>
  </w:style>
  <w:style w:type="paragraph" w:styleId="ad">
    <w:name w:val="Title"/>
    <w:basedOn w:val="a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e">
    <w:name w:val="Balloon Text"/>
    <w:basedOn w:val="a"/>
    <w:uiPriority w:val="99"/>
    <w:semiHidden/>
    <w:unhideWhenUsed/>
    <w:qFormat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">
    <w:name w:val="header"/>
    <w:basedOn w:val="a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paragraph" w:styleId="af0">
    <w:name w:val="footer"/>
    <w:basedOn w:val="a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ConsPlusTitle">
    <w:name w:val="ConsPlusTitle"/>
    <w:uiPriority w:val="99"/>
    <w:qFormat/>
    <w:rsid w:val="009917B5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f1">
    <w:name w:val="Body Text Indent"/>
    <w:basedOn w:val="a"/>
    <w:rsid w:val="009917B5"/>
    <w:pPr>
      <w:spacing w:after="120"/>
      <w:ind w:left="283"/>
    </w:pPr>
    <w:rPr>
      <w:rFonts w:ascii="Century Gothic" w:eastAsia="Times New Roman" w:hAnsi="Century Gothic" w:cs="Times New Roman"/>
      <w:lang w:val="en-US"/>
    </w:rPr>
  </w:style>
  <w:style w:type="paragraph" w:styleId="af2">
    <w:name w:val="No Spacing"/>
    <w:uiPriority w:val="1"/>
    <w:qFormat/>
    <w:rsid w:val="003F2416"/>
    <w:rPr>
      <w:sz w:val="22"/>
    </w:rPr>
  </w:style>
  <w:style w:type="paragraph" w:customStyle="1" w:styleId="1">
    <w:name w:val="Обычный1"/>
    <w:qFormat/>
    <w:rsid w:val="008C62A3"/>
    <w:pPr>
      <w:spacing w:line="300" w:lineRule="auto"/>
      <w:ind w:left="5200" w:right="80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3">
    <w:name w:val="List Paragraph"/>
    <w:basedOn w:val="a"/>
    <w:uiPriority w:val="34"/>
    <w:qFormat/>
    <w:rsid w:val="00282E54"/>
    <w:pPr>
      <w:ind w:left="720"/>
      <w:contextualSpacing/>
    </w:pPr>
  </w:style>
  <w:style w:type="paragraph" w:styleId="af4">
    <w:name w:val="Normal (Web)"/>
    <w:basedOn w:val="a"/>
    <w:uiPriority w:val="99"/>
    <w:unhideWhenUsed/>
    <w:qFormat/>
    <w:rsid w:val="00C80A58"/>
    <w:pPr>
      <w:spacing w:before="150" w:after="225" w:line="33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Основной текст1"/>
    <w:basedOn w:val="a"/>
    <w:qFormat/>
    <w:rsid w:val="002C1952"/>
    <w:pPr>
      <w:widowControl w:val="0"/>
      <w:shd w:val="clear" w:color="auto" w:fill="FFFFFF"/>
      <w:spacing w:after="0" w:line="331" w:lineRule="exact"/>
      <w:jc w:val="both"/>
    </w:pPr>
    <w:rPr>
      <w:rFonts w:ascii="Times New Roman" w:eastAsia="Times New Roman" w:hAnsi="Times New Roman" w:cs="Times New Roman"/>
      <w:spacing w:val="6"/>
    </w:rPr>
  </w:style>
  <w:style w:type="paragraph" w:customStyle="1" w:styleId="30">
    <w:name w:val="Основной текст (3)"/>
    <w:basedOn w:val="a"/>
    <w:link w:val="3"/>
    <w:qFormat/>
    <w:rsid w:val="002C1952"/>
    <w:pPr>
      <w:widowControl w:val="0"/>
      <w:shd w:val="clear" w:color="auto" w:fill="FFFFFF"/>
      <w:spacing w:after="0" w:line="322" w:lineRule="exact"/>
      <w:jc w:val="center"/>
    </w:pPr>
    <w:rPr>
      <w:rFonts w:ascii="Times New Roman" w:eastAsia="Times New Roman" w:hAnsi="Times New Roman" w:cs="Times New Roman"/>
      <w:b/>
      <w:bCs/>
      <w:spacing w:val="7"/>
    </w:rPr>
  </w:style>
  <w:style w:type="paragraph" w:customStyle="1" w:styleId="Default">
    <w:name w:val="Default"/>
    <w:qFormat/>
    <w:rsid w:val="004421C3"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5">
    <w:name w:val="Содержимое врезки"/>
    <w:basedOn w:val="a"/>
    <w:qFormat/>
  </w:style>
  <w:style w:type="paragraph" w:customStyle="1" w:styleId="af6">
    <w:name w:val="Содержимое таблицы"/>
    <w:basedOn w:val="a"/>
    <w:qFormat/>
    <w:pPr>
      <w:suppressLineNumbers/>
    </w:pPr>
  </w:style>
  <w:style w:type="paragraph" w:customStyle="1" w:styleId="af7">
    <w:name w:val="Заголовок таблицы"/>
    <w:basedOn w:val="af6"/>
    <w:qFormat/>
    <w:pPr>
      <w:jc w:val="center"/>
    </w:pPr>
    <w:rPr>
      <w:b/>
      <w:bCs/>
    </w:rPr>
  </w:style>
  <w:style w:type="table" w:styleId="af8">
    <w:name w:val="Table Grid"/>
    <w:basedOn w:val="a1"/>
    <w:uiPriority w:val="59"/>
    <w:rsid w:val="001860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f8"/>
    <w:uiPriority w:val="59"/>
    <w:rsid w:val="00F95FA0"/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81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3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5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chart" Target="charts/chart7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chart" Target="charts/chart6.xm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roundedCorners val="0"/>
  <c:style val="2"/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label 0</c:f>
              <c:strCache>
                <c:ptCount val="1"/>
              </c:strCache>
            </c:strRef>
          </c:tx>
          <c:spPr>
            <a:solidFill>
              <a:srgbClr val="4F81BD"/>
            </a:solidFill>
            <a:ln>
              <a:noFill/>
            </a:ln>
          </c:spPr>
          <c:invertIfNegative val="0"/>
          <c:dLbls>
            <c:spPr>
              <a:noFill/>
              <a:ln>
                <a:noFill/>
              </a:ln>
              <a:effectLst/>
            </c:spPr>
            <c:dLblPos val="outEnd"/>
            <c:showLegendKey val="0"/>
            <c:showVal val="1"/>
            <c:showCatName val="0"/>
            <c:showSerName val="0"/>
            <c:showPercent val="0"/>
            <c:showBubbleSize val="1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categories</c:f>
              <c:strCache>
                <c:ptCount val="3"/>
                <c:pt idx="0">
                  <c:v>2017</c:v>
                </c:pt>
                <c:pt idx="1">
                  <c:v>2018</c:v>
                </c:pt>
                <c:pt idx="2">
                  <c:v>2019</c:v>
                </c:pt>
              </c:strCache>
            </c:strRef>
          </c:cat>
          <c:val>
            <c:numRef>
              <c:f>0</c:f>
              <c:numCache>
                <c:formatCode>General</c:formatCode>
                <c:ptCount val="3"/>
                <c:pt idx="0">
                  <c:v>59</c:v>
                </c:pt>
                <c:pt idx="1">
                  <c:v>24</c:v>
                </c:pt>
                <c:pt idx="2">
                  <c:v>71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50489728"/>
        <c:axId val="150520192"/>
      </c:barChart>
      <c:catAx>
        <c:axId val="15048972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ln w="9360">
            <a:solidFill>
              <a:srgbClr val="D9D9D9"/>
            </a:solidFill>
            <a:round/>
          </a:ln>
        </c:spPr>
        <c:txPr>
          <a:bodyPr/>
          <a:lstStyle/>
          <a:p>
            <a:pPr>
              <a:defRPr sz="900" b="0" strike="noStrike" spc="-1">
                <a:solidFill>
                  <a:srgbClr val="595959"/>
                </a:solidFill>
                <a:latin typeface="Calibri"/>
              </a:defRPr>
            </a:pPr>
            <a:endParaRPr lang="ru-RU"/>
          </a:p>
        </c:txPr>
        <c:crossAx val="150520192"/>
        <c:crosses val="autoZero"/>
        <c:auto val="1"/>
        <c:lblAlgn val="ctr"/>
        <c:lblOffset val="100"/>
        <c:noMultiLvlLbl val="1"/>
      </c:catAx>
      <c:valAx>
        <c:axId val="150520192"/>
        <c:scaling>
          <c:orientation val="minMax"/>
        </c:scaling>
        <c:delete val="0"/>
        <c:axPos val="l"/>
        <c:majorGridlines>
          <c:spPr>
            <a:ln w="9360">
              <a:solidFill>
                <a:srgbClr val="D9D9D9"/>
              </a:solidFill>
              <a:round/>
            </a:ln>
          </c:spPr>
        </c:majorGridlines>
        <c:numFmt formatCode="General" sourceLinked="0"/>
        <c:majorTickMark val="none"/>
        <c:minorTickMark val="none"/>
        <c:tickLblPos val="nextTo"/>
        <c:spPr>
          <a:ln w="9360">
            <a:noFill/>
          </a:ln>
        </c:spPr>
        <c:txPr>
          <a:bodyPr/>
          <a:lstStyle/>
          <a:p>
            <a:pPr>
              <a:defRPr sz="900" b="0" strike="noStrike" spc="-1">
                <a:solidFill>
                  <a:srgbClr val="595959"/>
                </a:solidFill>
                <a:latin typeface="Calibri"/>
              </a:defRPr>
            </a:pPr>
            <a:endParaRPr lang="ru-RU"/>
          </a:p>
        </c:txPr>
        <c:crossAx val="150489728"/>
        <c:crosses val="autoZero"/>
        <c:crossBetween val="between"/>
      </c:valAx>
      <c:spPr>
        <a:noFill/>
        <a:ln>
          <a:noFill/>
        </a:ln>
      </c:spPr>
    </c:plotArea>
    <c:plotVisOnly val="1"/>
    <c:dispBlanksAs val="gap"/>
    <c:showDLblsOverMax val="1"/>
  </c:chart>
  <c:spPr>
    <a:solidFill>
      <a:srgbClr val="FFFFFF"/>
    </a:solidFill>
    <a:ln w="9360">
      <a:noFill/>
      <a:round/>
    </a:ln>
  </c:spPr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roundedCorners val="0"/>
  <c:style val="2"/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label 0</c:f>
              <c:strCache>
                <c:ptCount val="1"/>
                <c:pt idx="0">
                  <c:v>2017</c:v>
                </c:pt>
              </c:strCache>
            </c:strRef>
          </c:tx>
          <c:spPr>
            <a:solidFill>
              <a:srgbClr val="4F81BD"/>
            </a:solidFill>
            <a:ln>
              <a:noFill/>
            </a:ln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>
                    <a:solidFill>
                      <a:srgbClr val="002060"/>
                    </a:solidFill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1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categories</c:f>
              <c:strCache>
                <c:ptCount val="22"/>
                <c:pt idx="0">
                  <c:v>Сургут</c:v>
                </c:pt>
                <c:pt idx="1">
                  <c:v>Кондинский район </c:v>
                </c:pt>
                <c:pt idx="2">
                  <c:v>Ханты-Мансийск</c:v>
                </c:pt>
                <c:pt idx="3">
                  <c:v>Нижневартовск</c:v>
                </c:pt>
                <c:pt idx="4">
                  <c:v>Сургутский район</c:v>
                </c:pt>
                <c:pt idx="5">
                  <c:v>Урай</c:v>
                </c:pt>
                <c:pt idx="6">
                  <c:v>Нефтеюганск</c:v>
                </c:pt>
                <c:pt idx="7">
                  <c:v>Нефтеюганский район</c:v>
                </c:pt>
                <c:pt idx="8">
                  <c:v>Пыть-Ях</c:v>
                </c:pt>
                <c:pt idx="9">
                  <c:v>Мегион</c:v>
                </c:pt>
                <c:pt idx="10">
                  <c:v>Березовский район</c:v>
                </c:pt>
                <c:pt idx="11">
                  <c:v>Октябрьский район</c:v>
                </c:pt>
                <c:pt idx="12">
                  <c:v>Нягань</c:v>
                </c:pt>
                <c:pt idx="13">
                  <c:v>Ханты-Мансийский район</c:v>
                </c:pt>
                <c:pt idx="14">
                  <c:v>Югорск</c:v>
                </c:pt>
                <c:pt idx="15">
                  <c:v>Белоярский район</c:v>
                </c:pt>
                <c:pt idx="16">
                  <c:v>Нижневартовский район</c:v>
                </c:pt>
                <c:pt idx="17">
                  <c:v>Советский район</c:v>
                </c:pt>
                <c:pt idx="18">
                  <c:v>Радужный</c:v>
                </c:pt>
                <c:pt idx="19">
                  <c:v>Покачи</c:v>
                </c:pt>
                <c:pt idx="20">
                  <c:v>Лангепас</c:v>
                </c:pt>
                <c:pt idx="21">
                  <c:v>Когалым</c:v>
                </c:pt>
              </c:strCache>
            </c:strRef>
          </c:cat>
          <c:val>
            <c:numRef>
              <c:f>0</c:f>
              <c:numCache>
                <c:formatCode>General</c:formatCode>
                <c:ptCount val="22"/>
                <c:pt idx="0">
                  <c:v>12</c:v>
                </c:pt>
                <c:pt idx="1">
                  <c:v>1</c:v>
                </c:pt>
                <c:pt idx="2">
                  <c:v>9</c:v>
                </c:pt>
                <c:pt idx="3">
                  <c:v>5</c:v>
                </c:pt>
                <c:pt idx="4">
                  <c:v>3</c:v>
                </c:pt>
                <c:pt idx="5">
                  <c:v>5</c:v>
                </c:pt>
                <c:pt idx="6">
                  <c:v>1</c:v>
                </c:pt>
                <c:pt idx="7">
                  <c:v>3</c:v>
                </c:pt>
                <c:pt idx="8">
                  <c:v>1</c:v>
                </c:pt>
                <c:pt idx="9">
                  <c:v>2</c:v>
                </c:pt>
                <c:pt idx="10">
                  <c:v>0</c:v>
                </c:pt>
                <c:pt idx="11">
                  <c:v>0</c:v>
                </c:pt>
                <c:pt idx="12">
                  <c:v>2</c:v>
                </c:pt>
                <c:pt idx="13">
                  <c:v>3</c:v>
                </c:pt>
                <c:pt idx="14">
                  <c:v>0</c:v>
                </c:pt>
                <c:pt idx="15">
                  <c:v>1</c:v>
                </c:pt>
                <c:pt idx="16">
                  <c:v>0</c:v>
                </c:pt>
                <c:pt idx="17">
                  <c:v>3</c:v>
                </c:pt>
                <c:pt idx="18">
                  <c:v>0</c:v>
                </c:pt>
                <c:pt idx="19">
                  <c:v>0</c:v>
                </c:pt>
                <c:pt idx="20">
                  <c:v>0</c:v>
                </c:pt>
                <c:pt idx="21">
                  <c:v>2</c:v>
                </c:pt>
              </c:numCache>
            </c:numRef>
          </c:val>
        </c:ser>
        <c:ser>
          <c:idx val="1"/>
          <c:order val="1"/>
          <c:tx>
            <c:strRef>
              <c:f>label 1</c:f>
              <c:strCache>
                <c:ptCount val="1"/>
                <c:pt idx="0">
                  <c:v>2018</c:v>
                </c:pt>
              </c:strCache>
            </c:strRef>
          </c:tx>
          <c:spPr>
            <a:solidFill>
              <a:srgbClr val="C0504D"/>
            </a:solidFill>
            <a:ln>
              <a:noFill/>
            </a:ln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00">
                    <a:solidFill>
                      <a:srgbClr val="C00000"/>
                    </a:solidFill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1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categories</c:f>
              <c:strCache>
                <c:ptCount val="22"/>
                <c:pt idx="0">
                  <c:v>Сургут</c:v>
                </c:pt>
                <c:pt idx="1">
                  <c:v>Кондинский район </c:v>
                </c:pt>
                <c:pt idx="2">
                  <c:v>Ханты-Мансийск</c:v>
                </c:pt>
                <c:pt idx="3">
                  <c:v>Нижневартовск</c:v>
                </c:pt>
                <c:pt idx="4">
                  <c:v>Сургутский район</c:v>
                </c:pt>
                <c:pt idx="5">
                  <c:v>Урай</c:v>
                </c:pt>
                <c:pt idx="6">
                  <c:v>Нефтеюганск</c:v>
                </c:pt>
                <c:pt idx="7">
                  <c:v>Нефтеюганский район</c:v>
                </c:pt>
                <c:pt idx="8">
                  <c:v>Пыть-Ях</c:v>
                </c:pt>
                <c:pt idx="9">
                  <c:v>Мегион</c:v>
                </c:pt>
                <c:pt idx="10">
                  <c:v>Березовский район</c:v>
                </c:pt>
                <c:pt idx="11">
                  <c:v>Октябрьский район</c:v>
                </c:pt>
                <c:pt idx="12">
                  <c:v>Нягань</c:v>
                </c:pt>
                <c:pt idx="13">
                  <c:v>Ханты-Мансийский район</c:v>
                </c:pt>
                <c:pt idx="14">
                  <c:v>Югорск</c:v>
                </c:pt>
                <c:pt idx="15">
                  <c:v>Белоярский район</c:v>
                </c:pt>
                <c:pt idx="16">
                  <c:v>Нижневартовский район</c:v>
                </c:pt>
                <c:pt idx="17">
                  <c:v>Советский район</c:v>
                </c:pt>
                <c:pt idx="18">
                  <c:v>Радужный</c:v>
                </c:pt>
                <c:pt idx="19">
                  <c:v>Покачи</c:v>
                </c:pt>
                <c:pt idx="20">
                  <c:v>Лангепас</c:v>
                </c:pt>
                <c:pt idx="21">
                  <c:v>Когалым</c:v>
                </c:pt>
              </c:strCache>
            </c:strRef>
          </c:cat>
          <c:val>
            <c:numRef>
              <c:f>1</c:f>
              <c:numCache>
                <c:formatCode>General</c:formatCode>
                <c:ptCount val="22"/>
                <c:pt idx="0">
                  <c:v>7</c:v>
                </c:pt>
                <c:pt idx="1">
                  <c:v>0</c:v>
                </c:pt>
                <c:pt idx="2">
                  <c:v>1</c:v>
                </c:pt>
                <c:pt idx="3">
                  <c:v>1</c:v>
                </c:pt>
                <c:pt idx="4">
                  <c:v>1</c:v>
                </c:pt>
                <c:pt idx="5">
                  <c:v>0</c:v>
                </c:pt>
                <c:pt idx="6">
                  <c:v>3</c:v>
                </c:pt>
                <c:pt idx="7">
                  <c:v>1</c:v>
                </c:pt>
                <c:pt idx="8">
                  <c:v>1</c:v>
                </c:pt>
                <c:pt idx="9">
                  <c:v>0</c:v>
                </c:pt>
                <c:pt idx="10">
                  <c:v>0</c:v>
                </c:pt>
                <c:pt idx="11">
                  <c:v>1</c:v>
                </c:pt>
                <c:pt idx="12">
                  <c:v>1</c:v>
                </c:pt>
                <c:pt idx="13">
                  <c:v>1</c:v>
                </c:pt>
                <c:pt idx="14">
                  <c:v>1</c:v>
                </c:pt>
                <c:pt idx="15">
                  <c:v>0</c:v>
                </c:pt>
                <c:pt idx="16">
                  <c:v>1</c:v>
                </c:pt>
                <c:pt idx="17">
                  <c:v>1</c:v>
                </c:pt>
                <c:pt idx="18">
                  <c:v>0</c:v>
                </c:pt>
                <c:pt idx="19">
                  <c:v>0</c:v>
                </c:pt>
                <c:pt idx="20">
                  <c:v>1</c:v>
                </c:pt>
                <c:pt idx="21">
                  <c:v>0</c:v>
                </c:pt>
              </c:numCache>
            </c:numRef>
          </c:val>
        </c:ser>
        <c:ser>
          <c:idx val="2"/>
          <c:order val="2"/>
          <c:tx>
            <c:strRef>
              <c:f>label 2</c:f>
              <c:strCache>
                <c:ptCount val="1"/>
                <c:pt idx="0">
                  <c:v>2019</c:v>
                </c:pt>
              </c:strCache>
            </c:strRef>
          </c:tx>
          <c:spPr>
            <a:solidFill>
              <a:srgbClr val="9BBB59"/>
            </a:solidFill>
            <a:ln>
              <a:noFill/>
            </a:ln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>
                    <a:solidFill>
                      <a:schemeClr val="accent3">
                        <a:lumMod val="50000"/>
                      </a:schemeClr>
                    </a:solidFill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1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categories</c:f>
              <c:strCache>
                <c:ptCount val="22"/>
                <c:pt idx="0">
                  <c:v>Сургут</c:v>
                </c:pt>
                <c:pt idx="1">
                  <c:v>Кондинский район </c:v>
                </c:pt>
                <c:pt idx="2">
                  <c:v>Ханты-Мансийск</c:v>
                </c:pt>
                <c:pt idx="3">
                  <c:v>Нижневартовск</c:v>
                </c:pt>
                <c:pt idx="4">
                  <c:v>Сургутский район</c:v>
                </c:pt>
                <c:pt idx="5">
                  <c:v>Урай</c:v>
                </c:pt>
                <c:pt idx="6">
                  <c:v>Нефтеюганск</c:v>
                </c:pt>
                <c:pt idx="7">
                  <c:v>Нефтеюганский район</c:v>
                </c:pt>
                <c:pt idx="8">
                  <c:v>Пыть-Ях</c:v>
                </c:pt>
                <c:pt idx="9">
                  <c:v>Мегион</c:v>
                </c:pt>
                <c:pt idx="10">
                  <c:v>Березовский район</c:v>
                </c:pt>
                <c:pt idx="11">
                  <c:v>Октябрьский район</c:v>
                </c:pt>
                <c:pt idx="12">
                  <c:v>Нягань</c:v>
                </c:pt>
                <c:pt idx="13">
                  <c:v>Ханты-Мансийский район</c:v>
                </c:pt>
                <c:pt idx="14">
                  <c:v>Югорск</c:v>
                </c:pt>
                <c:pt idx="15">
                  <c:v>Белоярский район</c:v>
                </c:pt>
                <c:pt idx="16">
                  <c:v>Нижневартовский район</c:v>
                </c:pt>
                <c:pt idx="17">
                  <c:v>Советский район</c:v>
                </c:pt>
                <c:pt idx="18">
                  <c:v>Радужный</c:v>
                </c:pt>
                <c:pt idx="19">
                  <c:v>Покачи</c:v>
                </c:pt>
                <c:pt idx="20">
                  <c:v>Лангепас</c:v>
                </c:pt>
                <c:pt idx="21">
                  <c:v>Когалым</c:v>
                </c:pt>
              </c:strCache>
            </c:strRef>
          </c:cat>
          <c:val>
            <c:numRef>
              <c:f>2</c:f>
              <c:numCache>
                <c:formatCode>General</c:formatCode>
                <c:ptCount val="22"/>
                <c:pt idx="0">
                  <c:v>37</c:v>
                </c:pt>
                <c:pt idx="1">
                  <c:v>5</c:v>
                </c:pt>
                <c:pt idx="2">
                  <c:v>4</c:v>
                </c:pt>
                <c:pt idx="3">
                  <c:v>4</c:v>
                </c:pt>
                <c:pt idx="4">
                  <c:v>4</c:v>
                </c:pt>
                <c:pt idx="5">
                  <c:v>3</c:v>
                </c:pt>
                <c:pt idx="6">
                  <c:v>2</c:v>
                </c:pt>
                <c:pt idx="7">
                  <c:v>1</c:v>
                </c:pt>
                <c:pt idx="8">
                  <c:v>1</c:v>
                </c:pt>
                <c:pt idx="9">
                  <c:v>1</c:v>
                </c:pt>
                <c:pt idx="10">
                  <c:v>1</c:v>
                </c:pt>
                <c:pt idx="11">
                  <c:v>0</c:v>
                </c:pt>
                <c:pt idx="12">
                  <c:v>0</c:v>
                </c:pt>
                <c:pt idx="13">
                  <c:v>0</c:v>
                </c:pt>
                <c:pt idx="14">
                  <c:v>0</c:v>
                </c:pt>
                <c:pt idx="15">
                  <c:v>0</c:v>
                </c:pt>
                <c:pt idx="16">
                  <c:v>0</c:v>
                </c:pt>
                <c:pt idx="17">
                  <c:v>0</c:v>
                </c:pt>
                <c:pt idx="18">
                  <c:v>0</c:v>
                </c:pt>
                <c:pt idx="19">
                  <c:v>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17510528"/>
        <c:axId val="117512064"/>
      </c:barChart>
      <c:catAx>
        <c:axId val="11751052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ln w="9360">
            <a:solidFill>
              <a:srgbClr val="D9D9D9"/>
            </a:solidFill>
            <a:round/>
          </a:ln>
        </c:spPr>
        <c:txPr>
          <a:bodyPr/>
          <a:lstStyle/>
          <a:p>
            <a:pPr>
              <a:defRPr sz="900" b="0" strike="noStrike" spc="-1">
                <a:solidFill>
                  <a:srgbClr val="595959"/>
                </a:solidFill>
                <a:latin typeface="Calibri"/>
              </a:defRPr>
            </a:pPr>
            <a:endParaRPr lang="ru-RU"/>
          </a:p>
        </c:txPr>
        <c:crossAx val="117512064"/>
        <c:crosses val="autoZero"/>
        <c:auto val="1"/>
        <c:lblAlgn val="ctr"/>
        <c:lblOffset val="100"/>
        <c:noMultiLvlLbl val="1"/>
      </c:catAx>
      <c:valAx>
        <c:axId val="117512064"/>
        <c:scaling>
          <c:orientation val="minMax"/>
        </c:scaling>
        <c:delete val="0"/>
        <c:axPos val="l"/>
        <c:majorGridlines>
          <c:spPr>
            <a:ln w="9360">
              <a:solidFill>
                <a:srgbClr val="D9D9D9"/>
              </a:solidFill>
              <a:round/>
            </a:ln>
          </c:spPr>
        </c:majorGridlines>
        <c:numFmt formatCode="General" sourceLinked="0"/>
        <c:majorTickMark val="none"/>
        <c:minorTickMark val="none"/>
        <c:tickLblPos val="nextTo"/>
        <c:spPr>
          <a:ln w="9360">
            <a:noFill/>
          </a:ln>
        </c:spPr>
        <c:txPr>
          <a:bodyPr/>
          <a:lstStyle/>
          <a:p>
            <a:pPr>
              <a:defRPr sz="900" b="0" strike="noStrike" spc="-1">
                <a:solidFill>
                  <a:srgbClr val="595959"/>
                </a:solidFill>
                <a:latin typeface="Calibri"/>
              </a:defRPr>
            </a:pPr>
            <a:endParaRPr lang="ru-RU"/>
          </a:p>
        </c:txPr>
        <c:crossAx val="117510528"/>
        <c:crosses val="autoZero"/>
        <c:crossBetween val="between"/>
      </c:valAx>
      <c:spPr>
        <a:noFill/>
        <a:ln>
          <a:noFill/>
        </a:ln>
      </c:spPr>
    </c:plotArea>
    <c:legend>
      <c:legendPos val="b"/>
      <c:overlay val="0"/>
      <c:spPr>
        <a:noFill/>
        <a:ln>
          <a:noFill/>
        </a:ln>
      </c:spPr>
      <c:txPr>
        <a:bodyPr/>
        <a:lstStyle/>
        <a:p>
          <a:pPr>
            <a:defRPr sz="900" b="0" strike="noStrike" spc="-1">
              <a:solidFill>
                <a:srgbClr val="595959"/>
              </a:solidFill>
              <a:latin typeface="Calibri"/>
            </a:defRPr>
          </a:pPr>
          <a:endParaRPr lang="ru-RU"/>
        </a:p>
      </c:txPr>
    </c:legend>
    <c:plotVisOnly val="1"/>
    <c:dispBlanksAs val="gap"/>
    <c:showDLblsOverMax val="1"/>
  </c:chart>
  <c:spPr>
    <a:solidFill>
      <a:srgbClr val="FFFFFF"/>
    </a:solidFill>
    <a:ln w="9360">
      <a:solidFill>
        <a:srgbClr val="D9D9D9"/>
      </a:solidFill>
      <a:round/>
    </a:ln>
  </c:spPr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 кв. 2017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Лист1!$A$2:$A$3</c:f>
              <c:strCache>
                <c:ptCount val="2"/>
                <c:pt idx="0">
                  <c:v>в электронной форме</c:v>
                </c:pt>
                <c:pt idx="1">
                  <c:v>в письменной форме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41</c:v>
                </c:pt>
                <c:pt idx="1">
                  <c:v>18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 кв.2018</c:v>
                </c:pt>
              </c:strCache>
            </c:strRef>
          </c:tx>
          <c:spPr>
            <a:solidFill>
              <a:schemeClr val="accent6">
                <a:lumMod val="75000"/>
              </a:schemeClr>
            </a:solidFill>
          </c:spPr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Лист1!$A$2:$A$3</c:f>
              <c:strCache>
                <c:ptCount val="2"/>
                <c:pt idx="0">
                  <c:v>в электронной форме</c:v>
                </c:pt>
                <c:pt idx="1">
                  <c:v>в письменной форме</c:v>
                </c:pt>
              </c:strCache>
            </c:strRef>
          </c:cat>
          <c:val>
            <c:numRef>
              <c:f>Лист1!$C$2:$C$3</c:f>
              <c:numCache>
                <c:formatCode>General</c:formatCode>
                <c:ptCount val="2"/>
                <c:pt idx="0">
                  <c:v>12</c:v>
                </c:pt>
                <c:pt idx="1">
                  <c:v>12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 кв.2019</c:v>
                </c:pt>
              </c:strCache>
            </c:strRef>
          </c:tx>
          <c:spPr>
            <a:solidFill>
              <a:schemeClr val="bg1">
                <a:lumMod val="65000"/>
              </a:schemeClr>
            </a:solidFill>
          </c:spPr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Лист1!$A$2:$A$3</c:f>
              <c:strCache>
                <c:ptCount val="2"/>
                <c:pt idx="0">
                  <c:v>в электронной форме</c:v>
                </c:pt>
                <c:pt idx="1">
                  <c:v>в письменной форме</c:v>
                </c:pt>
              </c:strCache>
            </c:strRef>
          </c:cat>
          <c:val>
            <c:numRef>
              <c:f>Лист1!$D$2:$D$3</c:f>
              <c:numCache>
                <c:formatCode>General</c:formatCode>
                <c:ptCount val="2"/>
                <c:pt idx="0">
                  <c:v>60</c:v>
                </c:pt>
                <c:pt idx="1">
                  <c:v>11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17521408"/>
        <c:axId val="117523200"/>
      </c:barChart>
      <c:catAx>
        <c:axId val="117521408"/>
        <c:scaling>
          <c:orientation val="minMax"/>
        </c:scaling>
        <c:delete val="0"/>
        <c:axPos val="b"/>
        <c:majorTickMark val="out"/>
        <c:minorTickMark val="none"/>
        <c:tickLblPos val="nextTo"/>
        <c:crossAx val="117523200"/>
        <c:crosses val="autoZero"/>
        <c:auto val="1"/>
        <c:lblAlgn val="ctr"/>
        <c:lblOffset val="100"/>
        <c:noMultiLvlLbl val="0"/>
      </c:catAx>
      <c:valAx>
        <c:axId val="11752320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17521408"/>
        <c:crosses val="autoZero"/>
        <c:crossBetween val="between"/>
      </c:valAx>
    </c:plotArea>
    <c:legend>
      <c:legendPos val="b"/>
      <c:overlay val="0"/>
    </c:legend>
    <c:plotVisOnly val="1"/>
    <c:dispBlanksAs val="gap"/>
    <c:showDLblsOverMax val="0"/>
  </c:chart>
  <c:spPr>
    <a:ln>
      <a:noFill/>
    </a:ln>
  </c:spPr>
  <c:txPr>
    <a:bodyPr/>
    <a:lstStyle/>
    <a:p>
      <a:pPr>
        <a:defRPr>
          <a:ln>
            <a:noFill/>
          </a:ln>
        </a:defRPr>
      </a:pPr>
      <a:endParaRPr lang="ru-RU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roundedCorners val="0"/>
  <c:style val="2"/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label 0</c:f>
              <c:strCache>
                <c:ptCount val="1"/>
                <c:pt idx="0">
                  <c:v>Столбец H</c:v>
                </c:pt>
              </c:strCache>
            </c:strRef>
          </c:tx>
          <c:spPr>
            <a:solidFill>
              <a:srgbClr val="5B9BD5"/>
            </a:solidFill>
            <a:ln>
              <a:noFill/>
            </a:ln>
          </c:spPr>
          <c:invertIfNegative val="0"/>
          <c:dPt>
            <c:idx val="1"/>
            <c:invertIfNegative val="0"/>
            <c:bubble3D val="0"/>
            <c:spPr>
              <a:solidFill>
                <a:schemeClr val="accent6">
                  <a:lumMod val="75000"/>
                </a:schemeClr>
              </a:solidFill>
              <a:ln>
                <a:noFill/>
              </a:ln>
            </c:spPr>
          </c:dPt>
          <c:dPt>
            <c:idx val="2"/>
            <c:invertIfNegative val="0"/>
            <c:bubble3D val="0"/>
            <c:spPr>
              <a:solidFill>
                <a:schemeClr val="bg1">
                  <a:lumMod val="50000"/>
                </a:schemeClr>
              </a:solidFill>
              <a:ln>
                <a:noFill/>
              </a:ln>
            </c:spPr>
          </c:dPt>
          <c:dLbls>
            <c:spPr>
              <a:noFill/>
              <a:ln>
                <a:noFill/>
              </a:ln>
              <a:effectLst/>
            </c:spPr>
            <c:dLblPos val="outEnd"/>
            <c:showLegendKey val="0"/>
            <c:showVal val="1"/>
            <c:showCatName val="0"/>
            <c:showSerName val="0"/>
            <c:showPercent val="0"/>
            <c:showBubbleSize val="1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categories</c:f>
              <c:strCache>
                <c:ptCount val="3"/>
                <c:pt idx="0">
                  <c:v>2 кв.2017</c:v>
                </c:pt>
                <c:pt idx="1">
                  <c:v>2 кв.2018</c:v>
                </c:pt>
                <c:pt idx="2">
                  <c:v>2 кв.2019</c:v>
                </c:pt>
              </c:strCache>
            </c:strRef>
          </c:cat>
          <c:val>
            <c:numRef>
              <c:f>0</c:f>
              <c:numCache>
                <c:formatCode>General</c:formatCode>
                <c:ptCount val="3"/>
                <c:pt idx="0">
                  <c:v>1</c:v>
                </c:pt>
                <c:pt idx="1">
                  <c:v>2</c:v>
                </c:pt>
                <c:pt idx="2">
                  <c:v>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17552640"/>
        <c:axId val="117554176"/>
      </c:barChart>
      <c:catAx>
        <c:axId val="117552640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spPr>
          <a:ln w="9360">
            <a:solidFill>
              <a:srgbClr val="D9D9D9"/>
            </a:solidFill>
            <a:round/>
          </a:ln>
        </c:spPr>
        <c:txPr>
          <a:bodyPr/>
          <a:lstStyle/>
          <a:p>
            <a:pPr>
              <a:defRPr sz="900" b="0" strike="noStrike" spc="-1">
                <a:solidFill>
                  <a:srgbClr val="595959"/>
                </a:solidFill>
                <a:latin typeface="Calibri"/>
              </a:defRPr>
            </a:pPr>
            <a:endParaRPr lang="ru-RU"/>
          </a:p>
        </c:txPr>
        <c:crossAx val="117554176"/>
        <c:crosses val="autoZero"/>
        <c:auto val="1"/>
        <c:lblAlgn val="ctr"/>
        <c:lblOffset val="100"/>
        <c:noMultiLvlLbl val="1"/>
      </c:catAx>
      <c:valAx>
        <c:axId val="117554176"/>
        <c:scaling>
          <c:orientation val="minMax"/>
        </c:scaling>
        <c:delete val="0"/>
        <c:axPos val="l"/>
        <c:majorGridlines>
          <c:spPr>
            <a:ln w="9360">
              <a:solidFill>
                <a:srgbClr val="D9D9D9"/>
              </a:solidFill>
              <a:round/>
            </a:ln>
          </c:spPr>
        </c:majorGridlines>
        <c:numFmt formatCode="General" sourceLinked="0"/>
        <c:majorTickMark val="none"/>
        <c:minorTickMark val="none"/>
        <c:tickLblPos val="nextTo"/>
        <c:spPr>
          <a:ln w="6480">
            <a:noFill/>
          </a:ln>
        </c:spPr>
        <c:txPr>
          <a:bodyPr/>
          <a:lstStyle/>
          <a:p>
            <a:pPr>
              <a:defRPr sz="900" b="0" strike="noStrike" spc="-1">
                <a:solidFill>
                  <a:srgbClr val="595959"/>
                </a:solidFill>
                <a:latin typeface="Calibri"/>
              </a:defRPr>
            </a:pPr>
            <a:endParaRPr lang="ru-RU"/>
          </a:p>
        </c:txPr>
        <c:crossAx val="117552640"/>
        <c:crosses val="autoZero"/>
        <c:crossBetween val="between"/>
      </c:valAx>
      <c:spPr>
        <a:noFill/>
        <a:ln>
          <a:noFill/>
        </a:ln>
      </c:spPr>
    </c:plotArea>
    <c:plotVisOnly val="1"/>
    <c:dispBlanksAs val="gap"/>
    <c:showDLblsOverMax val="1"/>
  </c:chart>
  <c:spPr>
    <a:solidFill>
      <a:srgbClr val="FFFFFF"/>
    </a:solidFill>
    <a:ln w="9360">
      <a:noFill/>
      <a:round/>
    </a:ln>
  </c:spPr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roundedCorners val="0"/>
  <c:style val="2"/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label 0</c:f>
              <c:strCache>
                <c:ptCount val="1"/>
                <c:pt idx="0">
                  <c:v>Столбец B</c:v>
                </c:pt>
              </c:strCache>
            </c:strRef>
          </c:tx>
          <c:spPr>
            <a:solidFill>
              <a:srgbClr val="5B9BD5"/>
            </a:solidFill>
            <a:ln>
              <a:noFill/>
            </a:ln>
          </c:spPr>
          <c:invertIfNegative val="0"/>
          <c:dLbls>
            <c:spPr>
              <a:noFill/>
              <a:ln>
                <a:noFill/>
              </a:ln>
              <a:effectLst/>
            </c:spPr>
            <c:dLblPos val="outEnd"/>
            <c:showLegendKey val="0"/>
            <c:showVal val="1"/>
            <c:showCatName val="0"/>
            <c:showSerName val="0"/>
            <c:showPercent val="0"/>
            <c:showBubbleSize val="1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categories</c:f>
              <c:strCache>
                <c:ptCount val="3"/>
                <c:pt idx="0">
                  <c:v>2 кв.2017</c:v>
                </c:pt>
                <c:pt idx="1">
                  <c:v>2 кв.2018</c:v>
                </c:pt>
                <c:pt idx="2">
                  <c:v>2 кв.2019</c:v>
                </c:pt>
              </c:strCache>
            </c:strRef>
          </c:cat>
          <c:val>
            <c:numRef>
              <c:f>0</c:f>
              <c:numCache>
                <c:formatCode>General</c:formatCode>
                <c:ptCount val="3"/>
                <c:pt idx="0">
                  <c:v>1</c:v>
                </c:pt>
                <c:pt idx="1">
                  <c:v>4</c:v>
                </c:pt>
                <c:pt idx="2">
                  <c:v>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17533312"/>
        <c:axId val="117559680"/>
      </c:barChart>
      <c:catAx>
        <c:axId val="117533312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spPr>
          <a:ln w="9360">
            <a:solidFill>
              <a:srgbClr val="D9D9D9"/>
            </a:solidFill>
            <a:round/>
          </a:ln>
        </c:spPr>
        <c:txPr>
          <a:bodyPr/>
          <a:lstStyle/>
          <a:p>
            <a:pPr>
              <a:defRPr sz="900" b="0" strike="noStrike" spc="-1">
                <a:solidFill>
                  <a:srgbClr val="595959"/>
                </a:solidFill>
                <a:latin typeface="Calibri"/>
              </a:defRPr>
            </a:pPr>
            <a:endParaRPr lang="ru-RU"/>
          </a:p>
        </c:txPr>
        <c:crossAx val="117559680"/>
        <c:crosses val="autoZero"/>
        <c:auto val="1"/>
        <c:lblAlgn val="ctr"/>
        <c:lblOffset val="100"/>
        <c:noMultiLvlLbl val="1"/>
      </c:catAx>
      <c:valAx>
        <c:axId val="117559680"/>
        <c:scaling>
          <c:orientation val="minMax"/>
        </c:scaling>
        <c:delete val="0"/>
        <c:axPos val="l"/>
        <c:majorGridlines>
          <c:spPr>
            <a:ln w="9360">
              <a:solidFill>
                <a:srgbClr val="D9D9D9"/>
              </a:solidFill>
              <a:round/>
            </a:ln>
          </c:spPr>
        </c:majorGridlines>
        <c:numFmt formatCode="General" sourceLinked="0"/>
        <c:majorTickMark val="none"/>
        <c:minorTickMark val="none"/>
        <c:tickLblPos val="nextTo"/>
        <c:spPr>
          <a:ln w="6480">
            <a:noFill/>
          </a:ln>
        </c:spPr>
        <c:txPr>
          <a:bodyPr/>
          <a:lstStyle/>
          <a:p>
            <a:pPr>
              <a:defRPr sz="900" b="0" strike="noStrike" spc="-1">
                <a:solidFill>
                  <a:srgbClr val="595959"/>
                </a:solidFill>
                <a:latin typeface="Calibri"/>
              </a:defRPr>
            </a:pPr>
            <a:endParaRPr lang="ru-RU"/>
          </a:p>
        </c:txPr>
        <c:crossAx val="117533312"/>
        <c:crosses val="autoZero"/>
        <c:crossBetween val="between"/>
      </c:valAx>
      <c:spPr>
        <a:noFill/>
        <a:ln>
          <a:noFill/>
        </a:ln>
      </c:spPr>
    </c:plotArea>
    <c:plotVisOnly val="1"/>
    <c:dispBlanksAs val="gap"/>
    <c:showDLblsOverMax val="1"/>
  </c:chart>
  <c:spPr>
    <a:solidFill>
      <a:srgbClr val="FFFFFF"/>
    </a:solidFill>
    <a:ln w="9360">
      <a:solidFill>
        <a:srgbClr val="D9D9D9"/>
      </a:solidFill>
      <a:round/>
    </a:ln>
  </c:spPr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количество обращений</c:v>
                </c:pt>
              </c:strCache>
            </c:strRef>
          </c:tx>
          <c:spPr>
            <a:solidFill>
              <a:schemeClr val="accent6">
                <a:lumMod val="75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Лист1!$A$2:$A$4</c:f>
              <c:strCache>
                <c:ptCount val="3"/>
                <c:pt idx="0">
                  <c:v>2 квартал 2018 г.</c:v>
                </c:pt>
                <c:pt idx="1">
                  <c:v>1 квартал 2019 г.</c:v>
                </c:pt>
                <c:pt idx="2">
                  <c:v>2 квартал 2019 г.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11</c:v>
                </c:pt>
                <c:pt idx="1">
                  <c:v>27</c:v>
                </c:pt>
                <c:pt idx="2">
                  <c:v>47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количество вопросов</c:v>
                </c:pt>
              </c:strCache>
            </c:strRef>
          </c:tx>
          <c:spPr>
            <a:solidFill>
              <a:schemeClr val="accent1">
                <a:lumMod val="75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Лист1!$A$2:$A$4</c:f>
              <c:strCache>
                <c:ptCount val="3"/>
                <c:pt idx="0">
                  <c:v>2 квартал 2018 г.</c:v>
                </c:pt>
                <c:pt idx="1">
                  <c:v>1 квартал 2019 г.</c:v>
                </c:pt>
                <c:pt idx="2">
                  <c:v>2 квартал 2019 г.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14</c:v>
                </c:pt>
                <c:pt idx="1">
                  <c:v>29</c:v>
                </c:pt>
                <c:pt idx="2">
                  <c:v>52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82"/>
        <c:axId val="151245952"/>
        <c:axId val="151247488"/>
      </c:barChart>
      <c:catAx>
        <c:axId val="151245952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51247488"/>
        <c:crosses val="autoZero"/>
        <c:auto val="1"/>
        <c:lblAlgn val="ctr"/>
        <c:lblOffset val="100"/>
        <c:noMultiLvlLbl val="0"/>
      </c:catAx>
      <c:valAx>
        <c:axId val="15124748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5124595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roundedCorners val="0"/>
  <c:style val="2"/>
  <c:chart>
    <c:autoTitleDeleted val="1"/>
    <c:plotArea>
      <c:layout/>
      <c:barChart>
        <c:barDir val="col"/>
        <c:grouping val="stacked"/>
        <c:varyColors val="0"/>
        <c:ser>
          <c:idx val="0"/>
          <c:order val="0"/>
          <c:tx>
            <c:strRef>
              <c:f>label 0</c:f>
              <c:strCache>
                <c:ptCount val="1"/>
                <c:pt idx="0">
                  <c:v>Заявления</c:v>
                </c:pt>
              </c:strCache>
            </c:strRef>
          </c:tx>
          <c:spPr>
            <a:solidFill>
              <a:srgbClr val="002060"/>
            </a:solidFill>
            <a:ln>
              <a:noFill/>
            </a:ln>
          </c:spPr>
          <c:invertIfNegative val="0"/>
          <c:dLbls>
            <c:dLbl>
              <c:idx val="1"/>
              <c:layout>
                <c:manualLayout>
                  <c:x val="0"/>
                  <c:y val="-4.8132162580591366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/>
                <a:lstStyle/>
                <a:p>
                  <a:pPr>
                    <a:defRPr>
                      <a:solidFill>
                        <a:sysClr val="windowText" lastClr="000000"/>
                      </a:solidFill>
                    </a:defRPr>
                  </a:pPr>
                  <a:endParaRPr lang="ru-RU"/>
                </a:p>
              </c:txPr>
              <c:dLblPos val="ctr"/>
              <c:showLegendKey val="0"/>
              <c:showVal val="1"/>
              <c:showCatName val="0"/>
              <c:showSerName val="0"/>
              <c:showPercent val="0"/>
              <c:showBubbleSize val="1"/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>
                    <a:solidFill>
                      <a:schemeClr val="bg1"/>
                    </a:solidFill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1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categories</c:f>
              <c:strCache>
                <c:ptCount val="3"/>
                <c:pt idx="0">
                  <c:v>2 кв.2017</c:v>
                </c:pt>
                <c:pt idx="1">
                  <c:v>2 кв.2018</c:v>
                </c:pt>
                <c:pt idx="2">
                  <c:v>2 кв.2019</c:v>
                </c:pt>
              </c:strCache>
            </c:strRef>
          </c:cat>
          <c:val>
            <c:numRef>
              <c:f>0</c:f>
              <c:numCache>
                <c:formatCode>General</c:formatCode>
                <c:ptCount val="3"/>
                <c:pt idx="0">
                  <c:v>50</c:v>
                </c:pt>
                <c:pt idx="1">
                  <c:v>5</c:v>
                </c:pt>
                <c:pt idx="2">
                  <c:v>70</c:v>
                </c:pt>
              </c:numCache>
            </c:numRef>
          </c:val>
        </c:ser>
        <c:ser>
          <c:idx val="1"/>
          <c:order val="1"/>
          <c:tx>
            <c:strRef>
              <c:f>label 1</c:f>
              <c:strCache>
                <c:ptCount val="1"/>
                <c:pt idx="0">
                  <c:v>Жалобы</c:v>
                </c:pt>
              </c:strCache>
            </c:strRef>
          </c:tx>
          <c:spPr>
            <a:solidFill>
              <a:schemeClr val="accent6">
                <a:lumMod val="60000"/>
                <a:lumOff val="40000"/>
              </a:schemeClr>
            </a:solidFill>
            <a:ln>
              <a:noFill/>
            </a:ln>
          </c:spPr>
          <c:invertIfNegative val="0"/>
          <c:dLbls>
            <c:dLbl>
              <c:idx val="0"/>
              <c:layout>
                <c:manualLayout>
                  <c:x val="0"/>
                  <c:y val="-0.10433386837881221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1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7.691680951352545E-17"/>
                  <c:y val="-0.12841091492776885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1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0"/>
                  <c:y val="-6.4205457463884424E-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1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dLblPos val="ctr"/>
            <c:showLegendKey val="0"/>
            <c:showVal val="1"/>
            <c:showCatName val="0"/>
            <c:showSerName val="0"/>
            <c:showPercent val="0"/>
            <c:showBubbleSize val="1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categories</c:f>
              <c:strCache>
                <c:ptCount val="3"/>
                <c:pt idx="0">
                  <c:v>2 кв.2017</c:v>
                </c:pt>
                <c:pt idx="1">
                  <c:v>2 кв.2018</c:v>
                </c:pt>
                <c:pt idx="2">
                  <c:v>2 кв.2019</c:v>
                </c:pt>
              </c:strCache>
            </c:strRef>
          </c:cat>
          <c:val>
            <c:numRef>
              <c:f>1</c:f>
              <c:numCache>
                <c:formatCode>General</c:formatCode>
                <c:ptCount val="3"/>
                <c:pt idx="0">
                  <c:v>9</c:v>
                </c:pt>
                <c:pt idx="1">
                  <c:v>19</c:v>
                </c:pt>
                <c:pt idx="2">
                  <c:v>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125211008"/>
        <c:axId val="125212544"/>
      </c:barChart>
      <c:catAx>
        <c:axId val="125211008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spPr>
          <a:ln w="9360">
            <a:solidFill>
              <a:srgbClr val="D9D9D9"/>
            </a:solidFill>
            <a:round/>
          </a:ln>
        </c:spPr>
        <c:txPr>
          <a:bodyPr/>
          <a:lstStyle/>
          <a:p>
            <a:pPr>
              <a:defRPr sz="900" b="0" strike="noStrike" spc="-1">
                <a:solidFill>
                  <a:srgbClr val="595959"/>
                </a:solidFill>
                <a:latin typeface="Calibri"/>
              </a:defRPr>
            </a:pPr>
            <a:endParaRPr lang="ru-RU"/>
          </a:p>
        </c:txPr>
        <c:crossAx val="125212544"/>
        <c:crosses val="autoZero"/>
        <c:auto val="1"/>
        <c:lblAlgn val="ctr"/>
        <c:lblOffset val="100"/>
        <c:noMultiLvlLbl val="1"/>
      </c:catAx>
      <c:valAx>
        <c:axId val="125212544"/>
        <c:scaling>
          <c:orientation val="minMax"/>
        </c:scaling>
        <c:delete val="0"/>
        <c:axPos val="l"/>
        <c:majorGridlines>
          <c:spPr>
            <a:ln w="9360">
              <a:solidFill>
                <a:srgbClr val="D9D9D9"/>
              </a:solidFill>
              <a:round/>
            </a:ln>
          </c:spPr>
        </c:majorGridlines>
        <c:numFmt formatCode="General" sourceLinked="0"/>
        <c:majorTickMark val="none"/>
        <c:minorTickMark val="none"/>
        <c:tickLblPos val="nextTo"/>
        <c:spPr>
          <a:ln w="6480">
            <a:noFill/>
          </a:ln>
        </c:spPr>
        <c:txPr>
          <a:bodyPr/>
          <a:lstStyle/>
          <a:p>
            <a:pPr>
              <a:defRPr sz="900" b="0" strike="noStrike" spc="-1">
                <a:solidFill>
                  <a:srgbClr val="595959"/>
                </a:solidFill>
                <a:latin typeface="Calibri"/>
              </a:defRPr>
            </a:pPr>
            <a:endParaRPr lang="ru-RU"/>
          </a:p>
        </c:txPr>
        <c:crossAx val="125211008"/>
        <c:crosses val="autoZero"/>
        <c:crossBetween val="between"/>
      </c:valAx>
      <c:spPr>
        <a:noFill/>
        <a:ln>
          <a:noFill/>
        </a:ln>
      </c:spPr>
    </c:plotArea>
    <c:legend>
      <c:legendPos val="b"/>
      <c:overlay val="0"/>
      <c:spPr>
        <a:noFill/>
        <a:ln>
          <a:noFill/>
        </a:ln>
      </c:spPr>
      <c:txPr>
        <a:bodyPr/>
        <a:lstStyle/>
        <a:p>
          <a:pPr>
            <a:defRPr sz="900" b="0" strike="noStrike" spc="-1">
              <a:solidFill>
                <a:srgbClr val="595959"/>
              </a:solidFill>
              <a:latin typeface="Calibri"/>
            </a:defRPr>
          </a:pPr>
          <a:endParaRPr lang="ru-RU"/>
        </a:p>
      </c:txPr>
    </c:legend>
    <c:plotVisOnly val="1"/>
    <c:dispBlanksAs val="gap"/>
    <c:showDLblsOverMax val="1"/>
  </c:chart>
  <c:spPr>
    <a:solidFill>
      <a:srgbClr val="FFFFFF"/>
    </a:solidFill>
    <a:ln w="9360">
      <a:noFill/>
      <a:round/>
    </a:ln>
  </c:spPr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BD113A-EE16-4518-8674-1B5F8B2A9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3218</Words>
  <Characters>18348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Спиридонова Татьяна Сергеевна</dc:creator>
  <cp:lastModifiedBy>1</cp:lastModifiedBy>
  <cp:revision>2</cp:revision>
  <cp:lastPrinted>2019-07-19T11:27:00Z</cp:lastPrinted>
  <dcterms:created xsi:type="dcterms:W3CDTF">2019-10-30T18:25:00Z</dcterms:created>
  <dcterms:modified xsi:type="dcterms:W3CDTF">2019-10-30T18:25:00Z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